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3BA2" w:rsidRDefault="009C3BA2">
      <w:pPr>
        <w:pStyle w:val="XBRL2"/>
        <w:spacing w:before="156"/>
        <w:rPr>
          <w:lang w:eastAsia="zh-CN"/>
        </w:rPr>
      </w:pPr>
      <w:bookmarkStart w:id="0" w:name="_Toc510201001"/>
      <w:bookmarkEnd w:id="0"/>
      <w:r>
        <w:rPr>
          <w:lang w:eastAsia="zh-CN"/>
        </w:rPr>
        <w:t xml:space="preserve">　</w:t>
      </w:r>
      <w:r>
        <w:rPr>
          <w:lang w:eastAsia="zh-CN"/>
        </w:rPr>
        <w:t xml:space="preserve"> </w:t>
      </w:r>
    </w:p>
    <w:p w:rsidR="009C3BA2" w:rsidRDefault="009C3BA2">
      <w:pPr>
        <w:jc w:val="center"/>
      </w:pPr>
      <w:r>
        <w:rPr>
          <w:rFonts w:cs="Times New Roman" w:hint="eastAsia"/>
          <w:b/>
          <w:sz w:val="48"/>
          <w:szCs w:val="48"/>
        </w:rPr>
        <w:t>交银施罗德基金管理有限公司关于交银施罗德丰润收益债券型证券投资基金分红公告</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Pr="00500CBA" w:rsidRDefault="009C3BA2">
      <w:pPr>
        <w:pStyle w:val="22"/>
        <w:tabs>
          <w:tab w:val="right" w:leader="dot" w:pos="8835"/>
        </w:tabs>
        <w:divId w:val="473105205"/>
        <w:rPr>
          <w:rFonts w:ascii="Calibri" w:hAnsi="Calibri" w:cs="Times New Roman" w:hint="eastAsia"/>
          <w:noProof/>
          <w:vanish/>
          <w:szCs w:val="22"/>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500CBA">
        <w:rPr>
          <w:rFonts w:ascii="Calibri" w:hAnsi="Calibri" w:cs="Times New Roman"/>
          <w:noProof/>
          <w:vanish/>
          <w:szCs w:val="22"/>
        </w:rPr>
        <w:t xml:space="preserve"> </w:t>
      </w:r>
    </w:p>
    <w:p w:rsidR="009C3BA2" w:rsidRPr="00500CBA" w:rsidRDefault="009C3BA2">
      <w:pPr>
        <w:pStyle w:val="22"/>
        <w:tabs>
          <w:tab w:val="right" w:leader="dot" w:pos="8835"/>
        </w:tabs>
        <w:divId w:val="473105205"/>
        <w:rPr>
          <w:rFonts w:ascii="Calibri" w:hAnsi="Calibri" w:cs="Times New Roman"/>
          <w:noProof/>
          <w:vanish/>
          <w:szCs w:val="22"/>
        </w:rPr>
      </w:pPr>
      <w:hyperlink w:anchor="_Toc34322059" w:history="1">
        <w:r>
          <w:rPr>
            <w:rStyle w:val="a3"/>
            <w:rFonts w:hint="eastAsia"/>
            <w:noProof/>
            <w:vanish/>
          </w:rPr>
          <w:t>1.公告基本信息</w:t>
        </w:r>
      </w:hyperlink>
      <w:r w:rsidRPr="00500CBA">
        <w:rPr>
          <w:rFonts w:ascii="Calibri" w:hAnsi="Calibri" w:cs="Times New Roman"/>
          <w:noProof/>
          <w:vanish/>
          <w:szCs w:val="22"/>
        </w:rPr>
        <w:t xml:space="preserve"> </w:t>
      </w:r>
    </w:p>
    <w:p w:rsidR="009C3BA2" w:rsidRPr="00500CBA" w:rsidRDefault="009C3BA2">
      <w:pPr>
        <w:pStyle w:val="22"/>
        <w:tabs>
          <w:tab w:val="right" w:leader="dot" w:pos="8835"/>
        </w:tabs>
        <w:divId w:val="473105205"/>
        <w:rPr>
          <w:rFonts w:ascii="Calibri" w:hAnsi="Calibri" w:cs="Times New Roman"/>
          <w:noProof/>
          <w:vanish/>
          <w:szCs w:val="22"/>
        </w:rPr>
      </w:pPr>
      <w:hyperlink w:anchor="_Toc34322060" w:history="1">
        <w:r>
          <w:rPr>
            <w:rStyle w:val="a3"/>
            <w:rFonts w:hint="eastAsia"/>
            <w:noProof/>
            <w:vanish/>
          </w:rPr>
          <w:t>2.与分红相关的其他信息</w:t>
        </w:r>
      </w:hyperlink>
      <w:r w:rsidRPr="00500CBA">
        <w:rPr>
          <w:rFonts w:ascii="Calibri" w:hAnsi="Calibri" w:cs="Times New Roman"/>
          <w:noProof/>
          <w:vanish/>
          <w:szCs w:val="22"/>
        </w:rPr>
        <w:t xml:space="preserve"> </w:t>
      </w:r>
    </w:p>
    <w:p w:rsidR="009C3BA2" w:rsidRPr="00500CBA" w:rsidRDefault="009C3BA2">
      <w:pPr>
        <w:pStyle w:val="22"/>
        <w:tabs>
          <w:tab w:val="right" w:leader="dot" w:pos="8835"/>
        </w:tabs>
        <w:divId w:val="473105205"/>
        <w:rPr>
          <w:rFonts w:ascii="Calibri" w:hAnsi="Calibri" w:cs="Times New Roman"/>
          <w:noProof/>
          <w:vanish/>
          <w:szCs w:val="22"/>
        </w:rPr>
      </w:pPr>
      <w:hyperlink w:anchor="_Toc34322063" w:history="1">
        <w:r>
          <w:rPr>
            <w:rStyle w:val="a3"/>
            <w:rFonts w:hint="eastAsia"/>
            <w:noProof/>
            <w:vanish/>
          </w:rPr>
          <w:t>3.其他需要提示的事项</w:t>
        </w:r>
      </w:hyperlink>
      <w:r w:rsidRPr="00500CBA">
        <w:rPr>
          <w:rFonts w:ascii="Calibri" w:hAnsi="Calibri" w:cs="Times New Roman"/>
          <w:noProof/>
          <w:vanish/>
          <w:szCs w:val="22"/>
        </w:rPr>
        <w:t xml:space="preserve"> </w:t>
      </w:r>
    </w:p>
    <w:p w:rsidR="009C3BA2" w:rsidRDefault="009C3BA2">
      <w:pPr>
        <w:spacing w:line="560" w:lineRule="exact"/>
        <w:jc w:val="center"/>
        <w:rPr>
          <w:color w:val="000000"/>
          <w:kern w:val="0"/>
          <w:sz w:val="18"/>
        </w:rPr>
      </w:pPr>
      <w:r>
        <w:rPr>
          <w:rFonts w:hint="eastAsia"/>
          <w:color w:val="000000"/>
          <w:kern w:val="0"/>
          <w:sz w:val="18"/>
        </w:rPr>
        <w:fldChar w:fldCharType="end"/>
      </w: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560" w:lineRule="exact"/>
        <w:jc w:val="center"/>
        <w:rPr>
          <w:rFonts w:hint="eastAsia"/>
          <w:color w:val="000000"/>
          <w:kern w:val="0"/>
          <w:sz w:val="18"/>
        </w:rPr>
      </w:pPr>
      <w:r>
        <w:rPr>
          <w:rFonts w:hint="eastAsia"/>
          <w:color w:val="000000"/>
          <w:kern w:val="0"/>
          <w:sz w:val="18"/>
        </w:rPr>
        <w:t xml:space="preserve">　 </w:t>
      </w:r>
    </w:p>
    <w:p w:rsidR="009C3BA2" w:rsidRDefault="009C3BA2">
      <w:pPr>
        <w:spacing w:line="360" w:lineRule="auto"/>
        <w:jc w:val="center"/>
        <w:rPr>
          <w:rFonts w:hint="eastAsia"/>
        </w:rPr>
      </w:pPr>
      <w:r>
        <w:rPr>
          <w:rFonts w:hint="eastAsia"/>
          <w:b/>
          <w:bCs/>
          <w:sz w:val="24"/>
          <w:szCs w:val="30"/>
        </w:rPr>
        <w:t>公告送出日期：2023年2月24日</w:t>
      </w:r>
    </w:p>
    <w:p w:rsidR="009C3BA2" w:rsidRDefault="009C3BA2">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998"/>
        <w:gridCol w:w="3313"/>
        <w:gridCol w:w="3313"/>
      </w:tblGrid>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rsidP="00500CBA">
            <w:pPr>
              <w:rPr>
                <w:rFonts w:hint="eastAsia"/>
                <w:szCs w:val="21"/>
              </w:rPr>
            </w:pPr>
            <w:r w:rsidRPr="00500CBA">
              <w:rPr>
                <w:rFonts w:hint="eastAsia"/>
                <w:szCs w:val="21"/>
              </w:rPr>
              <w:t xml:space="preserve">基金名称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交银施罗德丰润收益债券型证券投资基金</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基金简称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交银丰润收益债券</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基金主代码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519743</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基金合同生效日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2014年12月15日</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基金管理人名称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交银施罗德基金管理有限公司</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基金托管人名称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中信银行股份有限公司</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公告依据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《公开募集证券投资基金信息披露管理办法》、《交银施罗德丰润收益债券型证券投资基金基金合同》、《交银施罗德丰润收益债券型证券投资基金招募说明书》等</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收益分配基准日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2023年2月15日</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BA2" w:rsidRPr="00500CBA" w:rsidRDefault="009C3BA2">
            <w:pPr>
              <w:rPr>
                <w:rFonts w:hint="eastAsia"/>
                <w:szCs w:val="21"/>
              </w:rPr>
            </w:pPr>
            <w:r w:rsidRPr="00500CBA">
              <w:rPr>
                <w:rFonts w:hint="eastAsia"/>
                <w:szCs w:val="21"/>
              </w:rPr>
              <w:t xml:space="preserve">有关年度分红次数的说明 </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本次分红为对2023年度基金利润实施的第一次分红。</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t xml:space="preserve">下属分级基金的基金简称 </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交银丰润收益债券A</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交银丰润收益债券C</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BA2" w:rsidRPr="00500CBA" w:rsidRDefault="009C3BA2">
            <w:pPr>
              <w:rPr>
                <w:rFonts w:hint="eastAsia"/>
                <w:szCs w:val="21"/>
              </w:rPr>
            </w:pPr>
            <w:r w:rsidRPr="00500CBA">
              <w:rPr>
                <w:rFonts w:hint="eastAsia"/>
                <w:szCs w:val="21"/>
              </w:rPr>
              <w:t xml:space="preserve">下属分级基金的交易代码 </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519743</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519745</w:t>
            </w:r>
          </w:p>
        </w:tc>
      </w:tr>
      <w:tr w:rsidR="00904EA7" w:rsidRPr="00500CBA" w:rsidTr="00635439">
        <w:tc>
          <w:tcPr>
            <w:tcW w:w="896" w:type="dxa"/>
            <w:vMerge w:val="restart"/>
            <w:tcBorders>
              <w:top w:val="single" w:sz="4" w:space="0" w:color="000000"/>
              <w:left w:val="single" w:sz="4" w:space="0" w:color="000000"/>
              <w:right w:val="single" w:sz="4" w:space="0" w:color="000000"/>
            </w:tcBorders>
            <w:shd w:val="clear" w:color="auto" w:fill="auto"/>
            <w:hideMark/>
          </w:tcPr>
          <w:p w:rsidR="00904EA7" w:rsidRPr="00500CBA" w:rsidRDefault="00904EA7" w:rsidP="00904EA7">
            <w:pPr>
              <w:rPr>
                <w:rFonts w:hint="eastAsia"/>
                <w:szCs w:val="21"/>
              </w:rPr>
            </w:pPr>
            <w:r w:rsidRPr="00500CBA">
              <w:rPr>
                <w:rFonts w:hint="eastAsia"/>
                <w:szCs w:val="21"/>
              </w:rPr>
              <w:t>截止基准日下属分级基金的相关指标</w:t>
            </w:r>
          </w:p>
        </w:tc>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Pr="00500CBA" w:rsidRDefault="00904EA7">
            <w:pPr>
              <w:rPr>
                <w:rFonts w:hint="eastAsia"/>
                <w:szCs w:val="21"/>
              </w:rPr>
            </w:pPr>
            <w:r w:rsidRPr="00500CBA">
              <w:rPr>
                <w:rFonts w:hint="eastAsia"/>
                <w:szCs w:val="21"/>
              </w:rPr>
              <w:t xml:space="preserve">基准日下属分级基金份额净值（单位： 人民币元） </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Default="00904EA7">
            <w:pPr>
              <w:rPr>
                <w:rFonts w:hint="eastAsia"/>
              </w:rPr>
            </w:pPr>
            <w:r w:rsidRPr="00500CBA">
              <w:rPr>
                <w:rFonts w:hint="eastAsia"/>
                <w:szCs w:val="21"/>
              </w:rPr>
              <w:t>1.0419</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Default="00904EA7">
            <w:pPr>
              <w:rPr>
                <w:rFonts w:hint="eastAsia"/>
              </w:rPr>
            </w:pPr>
            <w:r w:rsidRPr="00500CBA">
              <w:rPr>
                <w:rFonts w:hint="eastAsia"/>
                <w:szCs w:val="21"/>
              </w:rPr>
              <w:t>1.1376</w:t>
            </w:r>
          </w:p>
        </w:tc>
      </w:tr>
      <w:tr w:rsidR="00904EA7" w:rsidRPr="00500CBA" w:rsidTr="00635439">
        <w:tc>
          <w:tcPr>
            <w:tcW w:w="896" w:type="dxa"/>
            <w:vMerge/>
            <w:tcBorders>
              <w:left w:val="single" w:sz="4" w:space="0" w:color="000000"/>
              <w:right w:val="single" w:sz="4" w:space="0" w:color="000000"/>
            </w:tcBorders>
            <w:shd w:val="clear" w:color="auto" w:fill="auto"/>
            <w:vAlign w:val="center"/>
            <w:hideMark/>
          </w:tcPr>
          <w:p w:rsidR="00904EA7" w:rsidRPr="00500CBA" w:rsidRDefault="00904EA7" w:rsidP="00635439">
            <w:pPr>
              <w:rPr>
                <w:szCs w:val="21"/>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Pr="00500CBA" w:rsidRDefault="00904EA7">
            <w:pPr>
              <w:rPr>
                <w:rFonts w:hint="eastAsia"/>
                <w:szCs w:val="21"/>
              </w:rPr>
            </w:pPr>
            <w:r w:rsidRPr="00500CBA">
              <w:rPr>
                <w:rFonts w:hint="eastAsia"/>
                <w:szCs w:val="21"/>
              </w:rPr>
              <w:t xml:space="preserve">基准日下属分级基金可供分配利润（单位:人民币元） </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Default="00904EA7">
            <w:pPr>
              <w:rPr>
                <w:rFonts w:hint="eastAsia"/>
              </w:rPr>
            </w:pPr>
            <w:r w:rsidRPr="00500CBA">
              <w:rPr>
                <w:rFonts w:hint="eastAsia"/>
                <w:szCs w:val="21"/>
              </w:rPr>
              <w:t>110,311,131.73</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Default="00904EA7">
            <w:pPr>
              <w:rPr>
                <w:rFonts w:hint="eastAsia"/>
              </w:rPr>
            </w:pPr>
            <w:r w:rsidRPr="00500CBA">
              <w:rPr>
                <w:rFonts w:hint="eastAsia"/>
                <w:szCs w:val="21"/>
              </w:rPr>
              <w:t>222,294.58</w:t>
            </w:r>
          </w:p>
        </w:tc>
      </w:tr>
      <w:tr w:rsidR="00904EA7" w:rsidRPr="00500CBA" w:rsidTr="00635439">
        <w:tc>
          <w:tcPr>
            <w:tcW w:w="896" w:type="dxa"/>
            <w:vMerge/>
            <w:tcBorders>
              <w:left w:val="single" w:sz="4" w:space="0" w:color="000000"/>
              <w:bottom w:val="single" w:sz="4" w:space="0" w:color="000000"/>
              <w:right w:val="single" w:sz="4" w:space="0" w:color="000000"/>
            </w:tcBorders>
            <w:shd w:val="clear" w:color="auto" w:fill="auto"/>
            <w:hideMark/>
          </w:tcPr>
          <w:p w:rsidR="00904EA7" w:rsidRPr="00500CBA" w:rsidRDefault="00904EA7">
            <w:pPr>
              <w:rPr>
                <w:rFonts w:hint="eastAsia"/>
                <w:szCs w:val="21"/>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Default="00904EA7">
            <w:pPr>
              <w:rPr>
                <w:rFonts w:hint="eastAsia"/>
              </w:rPr>
            </w:pPr>
            <w:r w:rsidRPr="00500CBA">
              <w:rPr>
                <w:rFonts w:hint="eastAsia"/>
                <w:szCs w:val="21"/>
              </w:rPr>
              <w:t>截止基准日下属分级基金按照基金合同约定的分红比例计算的应分配金额（单位：元）</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Default="00904EA7">
            <w:pPr>
              <w:rPr>
                <w:rFonts w:hint="eastAsia"/>
              </w:rPr>
            </w:pPr>
            <w:r w:rsidRPr="00500CBA">
              <w:rPr>
                <w:rFonts w:hint="eastAsia"/>
                <w:szCs w:val="21"/>
              </w:rPr>
              <w:t>-</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04EA7" w:rsidRDefault="00904EA7">
            <w:pPr>
              <w:rPr>
                <w:rFonts w:hint="eastAsia"/>
              </w:rPr>
            </w:pPr>
            <w:r w:rsidRPr="00500CBA">
              <w:rPr>
                <w:rFonts w:hint="eastAsia"/>
                <w:szCs w:val="21"/>
              </w:rPr>
              <w:t>-</w:t>
            </w:r>
          </w:p>
        </w:tc>
      </w:tr>
      <w:tr w:rsidR="009C3BA2" w:rsidRPr="00500CBA" w:rsidTr="00904EA7">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C3BA2" w:rsidRPr="00500CBA" w:rsidRDefault="009C3BA2">
            <w:pPr>
              <w:rPr>
                <w:rFonts w:hint="eastAsia"/>
                <w:szCs w:val="21"/>
              </w:rPr>
            </w:pPr>
            <w:r w:rsidRPr="00500CBA">
              <w:rPr>
                <w:rFonts w:hint="eastAsia"/>
                <w:szCs w:val="21"/>
              </w:rPr>
              <w:lastRenderedPageBreak/>
              <w:t xml:space="preserve">本次下属分级基金分红方案（单位：元/10份基金份额） </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0.4000</w:t>
            </w:r>
          </w:p>
        </w:tc>
        <w:tc>
          <w:tcPr>
            <w:tcW w:w="3313" w:type="dxa"/>
            <w:tcBorders>
              <w:top w:val="single" w:sz="4" w:space="0" w:color="000000"/>
              <w:left w:val="single" w:sz="4" w:space="0" w:color="000000"/>
              <w:bottom w:val="single" w:sz="4" w:space="0" w:color="000000"/>
              <w:right w:val="single" w:sz="4" w:space="0" w:color="000000"/>
            </w:tcBorders>
            <w:shd w:val="clear" w:color="auto" w:fill="auto"/>
            <w:hideMark/>
          </w:tcPr>
          <w:p w:rsidR="009C3BA2" w:rsidRDefault="009C3BA2">
            <w:pPr>
              <w:rPr>
                <w:rFonts w:hint="eastAsia"/>
              </w:rPr>
            </w:pPr>
            <w:r w:rsidRPr="00500CBA">
              <w:rPr>
                <w:rFonts w:hint="eastAsia"/>
                <w:szCs w:val="21"/>
              </w:rPr>
              <w:t>-</w:t>
            </w:r>
          </w:p>
        </w:tc>
      </w:tr>
    </w:tbl>
    <w:p w:rsidR="009C3BA2" w:rsidRDefault="009C3BA2">
      <w:pPr>
        <w:adjustRightInd w:val="0"/>
        <w:snapToGrid w:val="0"/>
        <w:spacing w:beforeLines="50" w:line="360" w:lineRule="auto"/>
        <w:jc w:val="left"/>
        <w:rPr>
          <w:rFonts w:hint="eastAsia"/>
          <w:szCs w:val="24"/>
        </w:rPr>
      </w:pPr>
      <w:r>
        <w:rPr>
          <w:rFonts w:hint="eastAsia"/>
        </w:rPr>
        <w:t>注：</w:t>
      </w:r>
      <w:r>
        <w:rPr>
          <w:rFonts w:hint="eastAsia"/>
          <w:szCs w:val="24"/>
          <w:lang/>
        </w:rPr>
        <w:t>本基金目前处于基金合同生效后的开放期，期间设A类基金份额和C类基金份额，本基金A类基金份额不收取销售服务费，C类基金份额收取销售服务费，因此各基金份额类别对应的可供分配利润有所不同。</w:t>
      </w:r>
      <w:r>
        <w:rPr>
          <w:rFonts w:hint="eastAsia"/>
          <w:szCs w:val="24"/>
        </w:rPr>
        <w:t xml:space="preserve"> </w:t>
      </w:r>
    </w:p>
    <w:p w:rsidR="009C3BA2" w:rsidRDefault="009C3BA2">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9C3BA2">
        <w:tc>
          <w:tcPr>
            <w:tcW w:w="3927"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szCs w:val="21"/>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rPr>
            </w:pPr>
            <w:r>
              <w:rPr>
                <w:rFonts w:hint="eastAsia"/>
                <w:szCs w:val="21"/>
              </w:rPr>
              <w:t>2023年2月28日</w:t>
            </w:r>
          </w:p>
        </w:tc>
      </w:tr>
      <w:tr w:rsidR="009C3BA2">
        <w:tc>
          <w:tcPr>
            <w:tcW w:w="3927"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szCs w:val="21"/>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rPr>
            </w:pPr>
            <w:r>
              <w:rPr>
                <w:rFonts w:hint="eastAsia"/>
                <w:szCs w:val="21"/>
              </w:rPr>
              <w:t>2023年2月28日</w:t>
            </w:r>
          </w:p>
        </w:tc>
      </w:tr>
      <w:tr w:rsidR="009C3BA2">
        <w:tc>
          <w:tcPr>
            <w:tcW w:w="3927"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szCs w:val="21"/>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rPr>
            </w:pPr>
            <w:r>
              <w:rPr>
                <w:rFonts w:hint="eastAsia"/>
                <w:szCs w:val="21"/>
              </w:rPr>
              <w:t>2023年3月2日</w:t>
            </w:r>
          </w:p>
        </w:tc>
      </w:tr>
      <w:tr w:rsidR="009C3BA2">
        <w:tc>
          <w:tcPr>
            <w:tcW w:w="3927"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szCs w:val="21"/>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rPr>
            </w:pPr>
            <w:r>
              <w:rPr>
                <w:rFonts w:hint="eastAsia"/>
                <w:szCs w:val="21"/>
              </w:rPr>
              <w:t>权益登记日登记在册的本基金的份额持有人</w:t>
            </w:r>
          </w:p>
        </w:tc>
      </w:tr>
      <w:tr w:rsidR="009C3BA2">
        <w:tc>
          <w:tcPr>
            <w:tcW w:w="3927" w:type="dxa"/>
            <w:tcBorders>
              <w:top w:val="single" w:sz="4" w:space="0" w:color="auto"/>
              <w:left w:val="single" w:sz="4" w:space="0" w:color="auto"/>
              <w:bottom w:val="single" w:sz="4" w:space="0" w:color="auto"/>
              <w:right w:val="single" w:sz="4" w:space="0" w:color="auto"/>
            </w:tcBorders>
            <w:vAlign w:val="center"/>
            <w:hideMark/>
          </w:tcPr>
          <w:p w:rsidR="009C3BA2" w:rsidRDefault="009C3BA2">
            <w:pPr>
              <w:rPr>
                <w:rFonts w:hint="eastAsia"/>
                <w:szCs w:val="21"/>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rPr>
            </w:pPr>
            <w:r>
              <w:rPr>
                <w:rFonts w:hint="eastAsia"/>
                <w:szCs w:val="21"/>
              </w:rPr>
              <w:t>选择红利再投资方式的基金份额持有人，其现金红利将按2023年2月28日除息后的基金份额净值转换为基金份额，再投资所得的基金份额自2023年3月2日可以查询、赎回。</w:t>
            </w:r>
          </w:p>
        </w:tc>
      </w:tr>
      <w:tr w:rsidR="009C3BA2">
        <w:tc>
          <w:tcPr>
            <w:tcW w:w="3927"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szCs w:val="21"/>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rPr>
            </w:pPr>
            <w:r>
              <w:rPr>
                <w:rFonts w:hint="eastAsia"/>
                <w:szCs w:val="21"/>
              </w:rPr>
              <w:t>根据财政部、国家税务总局的相关规定，基金向基金份额持有人分配的基金收益，暂免征收所得税。</w:t>
            </w:r>
          </w:p>
        </w:tc>
      </w:tr>
      <w:tr w:rsidR="009C3BA2">
        <w:tc>
          <w:tcPr>
            <w:tcW w:w="3927"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szCs w:val="21"/>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9C3BA2" w:rsidRDefault="009C3BA2">
            <w:pPr>
              <w:rPr>
                <w:rFonts w:hint="eastAsia"/>
              </w:rPr>
            </w:pPr>
            <w:r>
              <w:rPr>
                <w:rFonts w:hint="eastAsia"/>
                <w:szCs w:val="21"/>
              </w:rPr>
              <w:t>本基金本次分红免收分红手续费。投资人选择红利再投资，红利再投资的份额免收申购费用。</w:t>
            </w:r>
          </w:p>
        </w:tc>
      </w:tr>
    </w:tbl>
    <w:p w:rsidR="009C3BA2" w:rsidRDefault="009C3BA2">
      <w:pPr>
        <w:adjustRightInd w:val="0"/>
        <w:snapToGrid w:val="0"/>
        <w:spacing w:beforeLines="50" w:line="360" w:lineRule="auto"/>
        <w:jc w:val="left"/>
        <w:rPr>
          <w:rFonts w:hint="eastAsia"/>
          <w:szCs w:val="24"/>
        </w:rPr>
      </w:pPr>
      <w:r>
        <w:rPr>
          <w:rFonts w:hint="eastAsia"/>
        </w:rPr>
        <w:t>注：</w:t>
      </w:r>
      <w:r>
        <w:rPr>
          <w:rFonts w:hint="eastAsia"/>
          <w:szCs w:val="24"/>
          <w:lang/>
        </w:rPr>
        <w:t>1、本分红方案经本基金管理人计算并由基金托管人中信银行股份有限公司复核。</w:t>
      </w:r>
      <w:r>
        <w:rPr>
          <w:rFonts w:hint="eastAsia"/>
          <w:szCs w:val="24"/>
          <w:lang/>
        </w:rPr>
        <w:br/>
        <w:t>2、本基金的基金份额持有人事先未做出收益分配方式选择的，则默认方式为现金分红。选择现金红利方式的基金份额持有人的红利款将于现金红利发放日自基金托管账户划出。</w:t>
      </w:r>
      <w:r>
        <w:rPr>
          <w:rFonts w:hint="eastAsia"/>
          <w:szCs w:val="24"/>
        </w:rPr>
        <w:t xml:space="preserve"> </w:t>
      </w:r>
    </w:p>
    <w:p w:rsidR="009C3BA2" w:rsidRDefault="009C3BA2">
      <w:pPr>
        <w:pStyle w:val="XBRLTitle1"/>
        <w:spacing w:before="156" w:line="360" w:lineRule="auto"/>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9C3BA2" w:rsidRDefault="009C3BA2">
      <w:pPr>
        <w:spacing w:line="360" w:lineRule="auto"/>
        <w:ind w:firstLineChars="200" w:firstLine="420"/>
        <w:jc w:val="left"/>
        <w:rPr>
          <w:rFonts w:hint="eastAsia"/>
        </w:rPr>
      </w:pPr>
      <w:r>
        <w:rPr>
          <w:rFonts w:hint="eastAsia"/>
          <w:szCs w:val="21"/>
        </w:rPr>
        <w:t>1、本基金收益分配方式分为两种：现金分红与红利再投资。基金份额持有人可选择现金红利或将现金红利按除息日除息后的基金份额净值自动转为基金份额进行再投资，本基金默认的收益分配方式是现金分红。</w:t>
      </w:r>
      <w:r>
        <w:rPr>
          <w:rFonts w:hint="eastAsia"/>
          <w:szCs w:val="21"/>
        </w:rPr>
        <w:br/>
        <w:t xml:space="preserve">　　2、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hint="eastAsia"/>
          <w:szCs w:val="21"/>
        </w:rPr>
        <w:br/>
        <w:t xml:space="preserve">　　3、权益登记日申请申购的基金份额不享有本次分红权益，权益登记日申请赎回的基金份额享有本次分红权益。</w:t>
      </w:r>
      <w:r>
        <w:rPr>
          <w:rFonts w:hint="eastAsia"/>
          <w:szCs w:val="21"/>
        </w:rPr>
        <w:br/>
        <w:t xml:space="preserve">　　4、本基金管理人有权根据市场情况及本基金净值波动的客观因素，在不违反本基金基金合同的前提下，于权益登记日调整最终的分红方案并届时公告。</w:t>
      </w:r>
      <w:r>
        <w:rPr>
          <w:rFonts w:hint="eastAsia"/>
          <w:szCs w:val="21"/>
        </w:rPr>
        <w:br/>
        <w:t xml:space="preserve">　　5、基金份额持有人可随时拨打本公司客服电话（400-700-5000，021-61055000）或登录本公司网站（www.fund001.com）查询当前的分红方式。</w:t>
      </w:r>
      <w:r>
        <w:rPr>
          <w:rFonts w:hint="eastAsia"/>
          <w:szCs w:val="21"/>
        </w:rPr>
        <w:br/>
        <w:t xml:space="preserve">　　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int="eastAsia"/>
          <w:szCs w:val="21"/>
        </w:rPr>
        <w:br/>
        <w:t xml:space="preserve">　　特此公告。</w:t>
      </w:r>
    </w:p>
    <w:p w:rsidR="009C3BA2" w:rsidRDefault="009C3BA2">
      <w:pPr>
        <w:spacing w:line="360" w:lineRule="auto"/>
        <w:ind w:firstLineChars="600" w:firstLine="1446"/>
        <w:jc w:val="right"/>
        <w:rPr>
          <w:rFonts w:hint="eastAsia"/>
          <w:b/>
          <w:bCs/>
          <w:sz w:val="24"/>
          <w:szCs w:val="30"/>
        </w:rPr>
      </w:pPr>
      <w:r>
        <w:rPr>
          <w:rFonts w:hint="eastAsia"/>
          <w:b/>
          <w:bCs/>
          <w:sz w:val="24"/>
          <w:szCs w:val="30"/>
        </w:rPr>
        <w:t xml:space="preserve">　 </w:t>
      </w:r>
    </w:p>
    <w:p w:rsidR="009C3BA2" w:rsidRDefault="009C3BA2">
      <w:pPr>
        <w:spacing w:line="360" w:lineRule="auto"/>
        <w:ind w:firstLineChars="600" w:firstLine="1446"/>
        <w:jc w:val="right"/>
        <w:rPr>
          <w:rFonts w:hint="eastAsia"/>
          <w:b/>
          <w:bCs/>
          <w:sz w:val="24"/>
          <w:szCs w:val="30"/>
        </w:rPr>
      </w:pPr>
      <w:r>
        <w:rPr>
          <w:rFonts w:hint="eastAsia"/>
          <w:b/>
          <w:bCs/>
          <w:sz w:val="24"/>
          <w:szCs w:val="30"/>
        </w:rPr>
        <w:t xml:space="preserve">　 </w:t>
      </w:r>
      <w:bookmarkEnd w:id="31"/>
    </w:p>
    <w:sectPr w:rsidR="009C3BA2">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39" w:rsidRDefault="00635439">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635439" w:rsidRDefault="00635439">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altName w:val="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A2" w:rsidRDefault="009C3BA2">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4F766E">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4F766E">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39" w:rsidRDefault="00635439">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635439" w:rsidRDefault="00635439">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A2" w:rsidRDefault="009C3BA2">
    <w:pPr>
      <w:pStyle w:val="a8"/>
      <w:jc w:val="right"/>
      <w:rPr>
        <w:rFonts w:hint="eastAsia"/>
      </w:rPr>
    </w:pPr>
    <w:r>
      <w:rPr>
        <w:rFonts w:hint="eastAsia"/>
      </w:rPr>
      <w:t>交银施罗德基金管理有限公司关于交银施罗德丰润收益债券型证券投资基金分红公告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0CBA"/>
    <w:rsid w:val="004F766E"/>
    <w:rsid w:val="00500CBA"/>
    <w:rsid w:val="00635439"/>
    <w:rsid w:val="00904EA7"/>
    <w:rsid w:val="009C3B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4731052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037E-4AFD-44E8-96FF-376663B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4</DocSecurity>
  <Lines>14</Lines>
  <Paragraphs>3</Paragraphs>
  <ScaleCrop>false</ScaleCrop>
  <Company/>
  <LinksUpToDate>false</LinksUpToDate>
  <CharactersWithSpaces>1992</CharactersWithSpaces>
  <SharedDoc>false</SharedDoc>
  <HLinks>
    <vt:vector size="24" baseType="variant">
      <vt:variant>
        <vt:i4>1179700</vt:i4>
      </vt:variant>
      <vt:variant>
        <vt:i4>11</vt:i4>
      </vt:variant>
      <vt:variant>
        <vt:i4>0</vt:i4>
      </vt:variant>
      <vt:variant>
        <vt:i4>5</vt:i4>
      </vt:variant>
      <vt:variant>
        <vt:lpwstr/>
      </vt:variant>
      <vt:variant>
        <vt:lpwstr>_Toc34322063</vt:lpwstr>
      </vt:variant>
      <vt:variant>
        <vt:i4>1114164</vt:i4>
      </vt:variant>
      <vt:variant>
        <vt:i4>8</vt:i4>
      </vt:variant>
      <vt:variant>
        <vt:i4>0</vt:i4>
      </vt:variant>
      <vt:variant>
        <vt:i4>5</vt:i4>
      </vt:variant>
      <vt:variant>
        <vt:lpwstr/>
      </vt:variant>
      <vt:variant>
        <vt:lpwstr>_Toc34322060</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2023-02-23T16:00:00Z</dcterms:created>
  <dcterms:modified xsi:type="dcterms:W3CDTF">2023-02-23T16:00:00Z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