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8F" w:rsidRDefault="00D7798F" w:rsidP="00D7798F">
      <w:pPr>
        <w:jc w:val="center"/>
        <w:rPr>
          <w:rFonts w:hAnsi="宋体"/>
          <w:b/>
          <w:sz w:val="48"/>
          <w:szCs w:val="48"/>
        </w:rPr>
      </w:pPr>
      <w:r w:rsidRPr="0034764F">
        <w:rPr>
          <w:rFonts w:hAnsi="宋体"/>
          <w:b/>
          <w:sz w:val="48"/>
          <w:szCs w:val="48"/>
        </w:rPr>
        <w:t>同泰泰裕三个月定期开放债券型证券投资基金开放申购、赎回业务公告</w:t>
      </w:r>
    </w:p>
    <w:p w:rsidR="009F1034" w:rsidRPr="009F1034" w:rsidRDefault="009F1034" w:rsidP="009F1034">
      <w:pPr>
        <w:spacing w:line="720" w:lineRule="auto"/>
        <w:jc w:val="center"/>
        <w:rPr>
          <w:rFonts w:hAnsi="宋体"/>
          <w:b/>
          <w:sz w:val="28"/>
          <w:szCs w:val="28"/>
        </w:rPr>
      </w:pPr>
      <w:bookmarkStart w:id="0" w:name="m_1"/>
      <w:r w:rsidRPr="00FE5DC5">
        <w:rPr>
          <w:rFonts w:hAnsi="宋体"/>
          <w:b/>
          <w:sz w:val="28"/>
          <w:szCs w:val="28"/>
        </w:rPr>
        <w:t>公告送出日期：</w:t>
      </w:r>
      <w:r>
        <w:rPr>
          <w:rFonts w:hAnsi="宋体"/>
          <w:b/>
          <w:sz w:val="28"/>
          <w:szCs w:val="28"/>
        </w:rPr>
        <w:t>2023年2月24日</w:t>
      </w:r>
      <w:bookmarkEnd w:id="0"/>
    </w:p>
    <w:p w:rsidR="00DC5DEF" w:rsidRDefault="00FF26C4" w:rsidP="00AF7412">
      <w:pPr>
        <w:pStyle w:val="1"/>
        <w:spacing w:before="156" w:after="156"/>
      </w:pPr>
      <w:r>
        <w:t>公告基本信息</w:t>
      </w:r>
    </w:p>
    <w:tbl>
      <w:tblPr>
        <w:tblStyle w:val="ae"/>
        <w:tblW w:w="9072" w:type="dxa"/>
        <w:jc w:val="center"/>
        <w:tblLayout w:type="fixed"/>
        <w:tblLook w:val="04A0"/>
      </w:tblPr>
      <w:tblGrid>
        <w:gridCol w:w="2678"/>
        <w:gridCol w:w="3193"/>
        <w:gridCol w:w="3201"/>
      </w:tblGrid>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基金名称</w:t>
            </w:r>
          </w:p>
        </w:tc>
        <w:tc>
          <w:tcPr>
            <w:tcW w:w="6394" w:type="dxa"/>
            <w:gridSpan w:val="2"/>
            <w:tcMar>
              <w:left w:w="85" w:type="dxa"/>
              <w:right w:w="85" w:type="dxa"/>
            </w:tcMar>
            <w:vAlign w:val="center"/>
          </w:tcPr>
          <w:p w:rsidR="00301A96" w:rsidRPr="00E03153" w:rsidRDefault="00301A96" w:rsidP="00301A96">
            <w:r w:rsidRPr="00E03153">
              <w:rPr>
                <w:rFonts w:hint="eastAsia"/>
              </w:rPr>
              <w:t>同泰泰裕三个月定期开放债券型证券投资基金</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基金简称</w:t>
            </w:r>
          </w:p>
        </w:tc>
        <w:tc>
          <w:tcPr>
            <w:tcW w:w="6394" w:type="dxa"/>
            <w:gridSpan w:val="2"/>
            <w:tcMar>
              <w:left w:w="85" w:type="dxa"/>
              <w:right w:w="85" w:type="dxa"/>
            </w:tcMar>
            <w:vAlign w:val="center"/>
          </w:tcPr>
          <w:p w:rsidR="00301A96" w:rsidRPr="00E03153" w:rsidRDefault="00301A96" w:rsidP="00301A96">
            <w:r w:rsidRPr="00E03153">
              <w:rPr>
                <w:rFonts w:hint="eastAsia"/>
              </w:rPr>
              <w:t>同泰泰裕三个月定开债</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基金主代码</w:t>
            </w:r>
          </w:p>
        </w:tc>
        <w:tc>
          <w:tcPr>
            <w:tcW w:w="6394" w:type="dxa"/>
            <w:gridSpan w:val="2"/>
            <w:tcMar>
              <w:left w:w="85" w:type="dxa"/>
              <w:right w:w="85" w:type="dxa"/>
            </w:tcMar>
            <w:vAlign w:val="center"/>
          </w:tcPr>
          <w:p w:rsidR="00301A96" w:rsidRPr="00E03153" w:rsidRDefault="00301A96" w:rsidP="00301A96">
            <w:r w:rsidRPr="00E03153">
              <w:rPr>
                <w:rFonts w:hint="eastAsia"/>
              </w:rPr>
              <w:t>016314</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基金运作方式</w:t>
            </w:r>
          </w:p>
        </w:tc>
        <w:tc>
          <w:tcPr>
            <w:tcW w:w="6394" w:type="dxa"/>
            <w:gridSpan w:val="2"/>
            <w:tcMar>
              <w:left w:w="85" w:type="dxa"/>
              <w:right w:w="85" w:type="dxa"/>
            </w:tcMar>
            <w:vAlign w:val="center"/>
          </w:tcPr>
          <w:p w:rsidR="00301A96" w:rsidRPr="00E03153" w:rsidRDefault="00301A96" w:rsidP="00301A96">
            <w:r w:rsidRPr="00E03153">
              <w:rPr>
                <w:rFonts w:hint="eastAsia"/>
              </w:rPr>
              <w:t>定期开放式</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基金合同生效日</w:t>
            </w:r>
          </w:p>
        </w:tc>
        <w:tc>
          <w:tcPr>
            <w:tcW w:w="6394" w:type="dxa"/>
            <w:gridSpan w:val="2"/>
            <w:tcMar>
              <w:left w:w="85" w:type="dxa"/>
              <w:right w:w="85" w:type="dxa"/>
            </w:tcMar>
            <w:vAlign w:val="center"/>
          </w:tcPr>
          <w:p w:rsidR="00301A96" w:rsidRPr="00E03153" w:rsidRDefault="00301A96" w:rsidP="00301A96">
            <w:r w:rsidRPr="00E03153">
              <w:rPr>
                <w:rFonts w:hint="eastAsia"/>
              </w:rPr>
              <w:t>2022年11月24日</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基金管理人名称</w:t>
            </w:r>
          </w:p>
        </w:tc>
        <w:tc>
          <w:tcPr>
            <w:tcW w:w="6394" w:type="dxa"/>
            <w:gridSpan w:val="2"/>
            <w:tcMar>
              <w:left w:w="85" w:type="dxa"/>
              <w:right w:w="85" w:type="dxa"/>
            </w:tcMar>
            <w:vAlign w:val="center"/>
          </w:tcPr>
          <w:p w:rsidR="00301A96" w:rsidRPr="00E03153" w:rsidRDefault="00301A96" w:rsidP="00301A96">
            <w:r w:rsidRPr="00E03153">
              <w:rPr>
                <w:rFonts w:hint="eastAsia"/>
              </w:rPr>
              <w:t>同泰基金管理有限公司</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基金托管人名称</w:t>
            </w:r>
          </w:p>
        </w:tc>
        <w:tc>
          <w:tcPr>
            <w:tcW w:w="6394" w:type="dxa"/>
            <w:gridSpan w:val="2"/>
            <w:tcMar>
              <w:left w:w="85" w:type="dxa"/>
              <w:right w:w="85" w:type="dxa"/>
            </w:tcMar>
            <w:vAlign w:val="center"/>
          </w:tcPr>
          <w:p w:rsidR="00301A96" w:rsidRPr="00E03153" w:rsidRDefault="00301A96" w:rsidP="00301A96">
            <w:r w:rsidRPr="00E03153">
              <w:rPr>
                <w:rFonts w:hint="eastAsia"/>
              </w:rPr>
              <w:t>中国光大银行股份有限公司</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基金注册登记机构名称</w:t>
            </w:r>
          </w:p>
        </w:tc>
        <w:tc>
          <w:tcPr>
            <w:tcW w:w="6394" w:type="dxa"/>
            <w:gridSpan w:val="2"/>
            <w:tcMar>
              <w:left w:w="85" w:type="dxa"/>
              <w:right w:w="85" w:type="dxa"/>
            </w:tcMar>
            <w:vAlign w:val="center"/>
          </w:tcPr>
          <w:p w:rsidR="00301A96" w:rsidRPr="00E03153" w:rsidRDefault="00301A96" w:rsidP="00301A96">
            <w:r w:rsidRPr="00E03153">
              <w:rPr>
                <w:rFonts w:hint="eastAsia"/>
              </w:rPr>
              <w:t>同泰基金管理有限公司</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公告依据</w:t>
            </w:r>
          </w:p>
        </w:tc>
        <w:tc>
          <w:tcPr>
            <w:tcW w:w="6394" w:type="dxa"/>
            <w:gridSpan w:val="2"/>
            <w:tcMar>
              <w:left w:w="85" w:type="dxa"/>
              <w:right w:w="85" w:type="dxa"/>
            </w:tcMar>
            <w:vAlign w:val="center"/>
          </w:tcPr>
          <w:p w:rsidR="00301A96" w:rsidRPr="00E03153" w:rsidRDefault="00301A96" w:rsidP="00301A96">
            <w:r w:rsidRPr="00E03153">
              <w:rPr>
                <w:rFonts w:hint="eastAsia"/>
              </w:rPr>
              <w:t>《中华人民共和国证券投资基金法》、《公开募集证券投资基金运作管理办法》、《公开募集证券投资基金信息披露管理办法》等法律法规以及《同泰泰裕三个月定期开放债券型证券投资基金基金合同》、《同泰泰裕三个月定期开放债券型证券投资基金招募说明书》</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申购起始日</w:t>
            </w:r>
          </w:p>
        </w:tc>
        <w:tc>
          <w:tcPr>
            <w:tcW w:w="6394" w:type="dxa"/>
            <w:gridSpan w:val="2"/>
            <w:tcMar>
              <w:left w:w="85" w:type="dxa"/>
              <w:right w:w="85" w:type="dxa"/>
            </w:tcMar>
            <w:vAlign w:val="center"/>
          </w:tcPr>
          <w:p w:rsidR="00301A96" w:rsidRPr="00E03153" w:rsidRDefault="00301A96" w:rsidP="00301A96">
            <w:r w:rsidRPr="00E03153">
              <w:rPr>
                <w:rFonts w:hint="eastAsia"/>
              </w:rPr>
              <w:t>2023年2月24日</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赎回起始日</w:t>
            </w:r>
          </w:p>
        </w:tc>
        <w:tc>
          <w:tcPr>
            <w:tcW w:w="6394" w:type="dxa"/>
            <w:gridSpan w:val="2"/>
            <w:tcMar>
              <w:left w:w="85" w:type="dxa"/>
              <w:right w:w="85" w:type="dxa"/>
            </w:tcMar>
            <w:vAlign w:val="center"/>
          </w:tcPr>
          <w:p w:rsidR="00301A96" w:rsidRPr="00E03153" w:rsidRDefault="00301A96" w:rsidP="00301A96">
            <w:r w:rsidRPr="00E03153">
              <w:rPr>
                <w:rFonts w:hint="eastAsia"/>
              </w:rPr>
              <w:t>2023年2月24日</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转换转入起始日</w:t>
            </w:r>
          </w:p>
        </w:tc>
        <w:tc>
          <w:tcPr>
            <w:tcW w:w="6394" w:type="dxa"/>
            <w:gridSpan w:val="2"/>
            <w:tcMar>
              <w:left w:w="85" w:type="dxa"/>
              <w:right w:w="85" w:type="dxa"/>
            </w:tcMar>
            <w:vAlign w:val="center"/>
          </w:tcPr>
          <w:p w:rsidR="00301A96" w:rsidRPr="00E03153" w:rsidRDefault="00301A96" w:rsidP="00301A96">
            <w:r w:rsidRPr="00E03153">
              <w:rPr>
                <w:rFonts w:hint="eastAsia"/>
              </w:rPr>
              <w:t>-</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转换转出起始日</w:t>
            </w:r>
          </w:p>
        </w:tc>
        <w:tc>
          <w:tcPr>
            <w:tcW w:w="6394" w:type="dxa"/>
            <w:gridSpan w:val="2"/>
            <w:tcMar>
              <w:left w:w="85" w:type="dxa"/>
              <w:right w:w="85" w:type="dxa"/>
            </w:tcMar>
            <w:vAlign w:val="center"/>
          </w:tcPr>
          <w:p w:rsidR="00301A96" w:rsidRPr="00E03153" w:rsidRDefault="00301A96" w:rsidP="00301A96">
            <w:r w:rsidRPr="00E03153">
              <w:rPr>
                <w:rFonts w:hint="eastAsia"/>
              </w:rPr>
              <w:t>-</w:t>
            </w:r>
          </w:p>
        </w:tc>
      </w:tr>
      <w:tr w:rsidR="00EE583D" w:rsidTr="00EE583D">
        <w:trPr>
          <w:jc w:val="center"/>
        </w:trPr>
        <w:tc>
          <w:tcPr>
            <w:tcW w:w="2678" w:type="dxa"/>
            <w:tcMar>
              <w:left w:w="85" w:type="dxa"/>
              <w:right w:w="85" w:type="dxa"/>
            </w:tcMar>
            <w:vAlign w:val="center"/>
          </w:tcPr>
          <w:p w:rsidR="00301A96" w:rsidRPr="007576E9" w:rsidRDefault="00301A96" w:rsidP="00C30A00">
            <w:pPr>
              <w:jc w:val="both"/>
            </w:pPr>
            <w:r w:rsidRPr="007576E9">
              <w:rPr>
                <w:rFonts w:hint="eastAsia"/>
              </w:rPr>
              <w:t>下属分类基金的基金简称</w:t>
            </w:r>
          </w:p>
        </w:tc>
        <w:tc>
          <w:tcPr>
            <w:tcW w:w="3193" w:type="dxa"/>
            <w:tcMar>
              <w:left w:w="85" w:type="dxa"/>
              <w:right w:w="85" w:type="dxa"/>
            </w:tcMar>
            <w:vAlign w:val="center"/>
          </w:tcPr>
          <w:p w:rsidR="00301A96" w:rsidRPr="00D418FC" w:rsidRDefault="00301A96" w:rsidP="00301A96">
            <w:r w:rsidRPr="00D418FC">
              <w:rPr>
                <w:rFonts w:hint="eastAsia"/>
              </w:rPr>
              <w:t>同泰泰裕三个月定开债A</w:t>
            </w:r>
          </w:p>
        </w:tc>
        <w:tc>
          <w:tcPr>
            <w:tcW w:w="3193" w:type="dxa"/>
            <w:tcMar>
              <w:left w:w="85" w:type="dxa"/>
              <w:right w:w="85" w:type="dxa"/>
            </w:tcMar>
            <w:vAlign w:val="center"/>
          </w:tcPr>
          <w:p w:rsidR="00301A96" w:rsidRPr="00D418FC" w:rsidRDefault="00301A96" w:rsidP="00301A96">
            <w:r w:rsidRPr="00D418FC">
              <w:rPr>
                <w:rFonts w:hint="eastAsia"/>
              </w:rPr>
              <w:t>同泰泰裕三个月定开债C</w:t>
            </w:r>
          </w:p>
        </w:tc>
      </w:tr>
      <w:tr w:rsidR="00EE583D" w:rsidTr="00EE583D">
        <w:trPr>
          <w:jc w:val="center"/>
        </w:trPr>
        <w:tc>
          <w:tcPr>
            <w:tcW w:w="2678" w:type="dxa"/>
            <w:tcMar>
              <w:left w:w="85" w:type="dxa"/>
              <w:right w:w="85" w:type="dxa"/>
            </w:tcMar>
            <w:vAlign w:val="center"/>
          </w:tcPr>
          <w:p w:rsidR="00301A96" w:rsidRPr="007576E9" w:rsidRDefault="00301A96" w:rsidP="00C30A00">
            <w:pPr>
              <w:jc w:val="both"/>
            </w:pPr>
            <w:r w:rsidRPr="007576E9">
              <w:rPr>
                <w:rFonts w:hint="eastAsia"/>
              </w:rPr>
              <w:t>下属分类基金的交易代码</w:t>
            </w:r>
          </w:p>
        </w:tc>
        <w:tc>
          <w:tcPr>
            <w:tcW w:w="3193" w:type="dxa"/>
            <w:tcMar>
              <w:left w:w="85" w:type="dxa"/>
              <w:right w:w="85" w:type="dxa"/>
            </w:tcMar>
            <w:vAlign w:val="center"/>
          </w:tcPr>
          <w:p w:rsidR="00301A96" w:rsidRPr="00D418FC" w:rsidRDefault="00301A96" w:rsidP="00301A96">
            <w:r w:rsidRPr="00D418FC">
              <w:rPr>
                <w:rFonts w:hint="eastAsia"/>
              </w:rPr>
              <w:t>016314</w:t>
            </w:r>
          </w:p>
        </w:tc>
        <w:tc>
          <w:tcPr>
            <w:tcW w:w="3193" w:type="dxa"/>
            <w:tcMar>
              <w:left w:w="85" w:type="dxa"/>
              <w:right w:w="85" w:type="dxa"/>
            </w:tcMar>
            <w:vAlign w:val="center"/>
          </w:tcPr>
          <w:p w:rsidR="00301A96" w:rsidRPr="00D418FC" w:rsidRDefault="00301A96" w:rsidP="00301A96">
            <w:r w:rsidRPr="00D418FC">
              <w:rPr>
                <w:rFonts w:hint="eastAsia"/>
              </w:rPr>
              <w:t>016315</w:t>
            </w:r>
          </w:p>
        </w:tc>
      </w:tr>
      <w:tr w:rsidR="00EE583D" w:rsidTr="00EE583D">
        <w:trPr>
          <w:jc w:val="center"/>
        </w:trPr>
        <w:tc>
          <w:tcPr>
            <w:tcW w:w="2678" w:type="dxa"/>
            <w:tcMar>
              <w:left w:w="85" w:type="dxa"/>
              <w:right w:w="85" w:type="dxa"/>
            </w:tcMar>
            <w:vAlign w:val="center"/>
          </w:tcPr>
          <w:p w:rsidR="00301A96" w:rsidRDefault="00301A96" w:rsidP="00C30A00">
            <w:pPr>
              <w:jc w:val="both"/>
            </w:pPr>
            <w:r w:rsidRPr="007576E9">
              <w:rPr>
                <w:rFonts w:hint="eastAsia"/>
              </w:rPr>
              <w:t>该分类基金是否开放申购、赎回（转换、定期定额投资）</w:t>
            </w:r>
          </w:p>
        </w:tc>
        <w:tc>
          <w:tcPr>
            <w:tcW w:w="3193" w:type="dxa"/>
            <w:tcMar>
              <w:left w:w="85" w:type="dxa"/>
              <w:right w:w="85" w:type="dxa"/>
            </w:tcMar>
            <w:vAlign w:val="center"/>
          </w:tcPr>
          <w:p w:rsidR="00301A96" w:rsidRPr="00D418FC" w:rsidRDefault="00301A96" w:rsidP="00301A96">
            <w:r w:rsidRPr="00D418FC">
              <w:rPr>
                <w:rFonts w:hint="eastAsia"/>
              </w:rPr>
              <w:t>是</w:t>
            </w:r>
          </w:p>
        </w:tc>
        <w:tc>
          <w:tcPr>
            <w:tcW w:w="3193" w:type="dxa"/>
            <w:tcMar>
              <w:left w:w="85" w:type="dxa"/>
              <w:right w:w="85" w:type="dxa"/>
            </w:tcMar>
            <w:vAlign w:val="center"/>
          </w:tcPr>
          <w:p w:rsidR="00301A96" w:rsidRPr="00D418FC" w:rsidRDefault="00301A96" w:rsidP="00301A96">
            <w:r w:rsidRPr="00D418FC">
              <w:rPr>
                <w:rFonts w:hint="eastAsia"/>
              </w:rPr>
              <w:t>是</w:t>
            </w:r>
          </w:p>
        </w:tc>
      </w:tr>
    </w:tbl>
    <w:p w:rsidR="00FF26C4" w:rsidRPr="00FF26C4" w:rsidRDefault="00FF26C4" w:rsidP="00283D98">
      <w:r w:rsidRPr="00C10F53">
        <w:rPr>
          <w:szCs w:val="22"/>
        </w:rPr>
        <w:t>注：投资者范围指符合法律法规的可投资于证券投资基金的个人投资者、机构投资者、合格境外机构投资者以及法律法规或中国证监会允许购买证券投资基金的其他投资人。</w:t>
      </w:r>
    </w:p>
    <w:p w:rsidR="00FF26C4" w:rsidRDefault="00FF26C4" w:rsidP="00AF7412">
      <w:pPr>
        <w:pStyle w:val="1"/>
        <w:spacing w:before="156" w:after="156"/>
      </w:pPr>
      <w:r w:rsidRPr="00FF26C4">
        <w:rPr>
          <w:rFonts w:hint="eastAsia"/>
        </w:rPr>
        <w:t>日常申购、赎回（转换、定期定额投资）业务的办理时间</w:t>
      </w:r>
    </w:p>
    <w:p w:rsidR="00FF26C4" w:rsidRPr="00FF26C4" w:rsidRDefault="00FF26C4" w:rsidP="0034764F">
      <w:pPr>
        <w:pStyle w:val="ac"/>
        <w:ind w:firstLine="420"/>
      </w:pPr>
      <w:r w:rsidRPr="00C10F53">
        <w:t>本基金以定期开放的方式运作，即采用封闭运作和开放运作交替循环的方式。</w:t>
      </w:r>
      <w:r w:rsidRPr="00C10F53">
        <w:br/>
        <w:t xml:space="preserve">    自基金合同生效之日起(含)或自每一个开放期结束之日次日起(含)至 3 个公历月后的月度对日(如该对应日期为非工作日，则顺延至下一工作日，若该日历月份中不存在对应日期的，则顺延至该月最后一日的下一工作日)的前一日止为本基金的一个封闭期。</w:t>
      </w:r>
      <w:r w:rsidRPr="00C10F53">
        <w:br/>
        <w:t xml:space="preserve">    本基金将于2023年2月24日至2023年3月23日开放，并将于2023年3月24日重新进入封闭期，本基金在封闭期内不办理申购、赎回等业务，也不上市交易。如果由于不可抗力或其他原因</w:t>
      </w:r>
      <w:r w:rsidRPr="00C10F53">
        <w:lastRenderedPageBreak/>
        <w:t>致使本基金无法按时开放或依据基金合同需暂停申购或赎回业务的，基金管理人有权对开放期安排进行调整并予以公告。</w:t>
      </w:r>
    </w:p>
    <w:p w:rsidR="00FF26C4" w:rsidRDefault="00FF26C4" w:rsidP="00AF7412">
      <w:pPr>
        <w:pStyle w:val="1"/>
        <w:spacing w:before="156" w:after="156"/>
      </w:pPr>
      <w:r>
        <w:t>日常申购业务</w:t>
      </w:r>
    </w:p>
    <w:p w:rsidR="00FF26C4" w:rsidRDefault="00FF26C4" w:rsidP="00AF7412">
      <w:pPr>
        <w:pStyle w:val="2"/>
        <w:spacing w:before="156" w:after="156"/>
      </w:pPr>
      <w:r w:rsidRPr="00FF26C4">
        <w:rPr>
          <w:rFonts w:hint="eastAsia"/>
        </w:rPr>
        <w:t>申购金额限制</w:t>
      </w:r>
    </w:p>
    <w:p w:rsidR="00FF26C4" w:rsidRDefault="00FF26C4" w:rsidP="0034764F">
      <w:pPr>
        <w:pStyle w:val="ac"/>
        <w:ind w:firstLine="420"/>
      </w:pPr>
      <w:r w:rsidRPr="00C10F53">
        <w:t>投资人通过基金管理人网上交易平台(目前仅对个人投资者开通)或其他销售机构首次和追加申购本基金份额的，每个基金账户单笔最低申购金额为10元人民币(含申购费)。同泰基金直销交易平台仅开放机构投资者的开户及申购申请，原则上不接受个人投资者委托。销售机构另有规定的，从其规定。</w:t>
      </w:r>
      <w:r w:rsidRPr="00C10F53">
        <w:br/>
        <w:t xml:space="preserve">    当接受申购申请对存量基金份额持有人利益构成潜在重大不利影响时，基金管理人应当采取设定单个投资人申购金额上限、基金规模上限或基金单日净申购比例上限，以及拒绝大额申购、暂停基金申购等措施，切实保护存量基金份额持有人的合法权益。基金管理人基于投资运作与风险控制的需要，可采取上述措施对基金规模予以控制。具体规定请参见招募说明书或相关公告；</w:t>
      </w:r>
      <w:r w:rsidRPr="00C10F53">
        <w:br/>
        <w:t xml:space="preserve">    本基金对单个投资人累计持有的基金份额不设上限，但单一投资者持有基金份额数不得达到或超过基金份额总数的50%。</w:t>
      </w:r>
    </w:p>
    <w:p w:rsidR="00FF26C4" w:rsidRDefault="00FF26C4" w:rsidP="00AF7412">
      <w:pPr>
        <w:pStyle w:val="2"/>
        <w:spacing w:before="156" w:after="156"/>
      </w:pPr>
      <w:r w:rsidRPr="00FF26C4">
        <w:rPr>
          <w:rFonts w:hint="eastAsia"/>
        </w:rPr>
        <w:t>申购费率</w:t>
      </w:r>
    </w:p>
    <w:tbl>
      <w:tblPr>
        <w:tblStyle w:val="ae"/>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tblGrid>
      <w:tr w:rsidR="00B013A1" w:rsidTr="00B013A1">
        <w:tc>
          <w:tcPr>
            <w:tcW w:w="8528" w:type="dxa"/>
          </w:tcPr>
          <w:p w:rsidR="00B013A1" w:rsidRDefault="00B013A1" w:rsidP="00B013A1">
            <w:pPr>
              <w:pStyle w:val="ac"/>
              <w:ind w:firstLine="420"/>
            </w:pPr>
            <w:r>
              <w:rPr>
                <w:rFonts w:hint="eastAsia"/>
              </w:rPr>
              <w:t>本基金A类基金份额的申购费用由申购该类基金份额的投资人承担，不列入基金财产，主要用于本基金的市场推广、销售、登记等各项费用。本基金A类份额的申购费率随申购金额的增加而递减。</w:t>
            </w:r>
            <w:r>
              <w:rPr>
                <w:rFonts w:hint="eastAsia"/>
              </w:rPr>
              <w:br/>
              <w:t xml:space="preserve">    本基金A类基金份额在申购时收取申购费用，C类基金份额不收取申购费用，但从该类别基金资产中计提销售服务费。</w:t>
            </w:r>
          </w:p>
        </w:tc>
      </w:tr>
    </w:tbl>
    <w:p w:rsidR="00FF26C4" w:rsidRPr="004C17FD" w:rsidRDefault="00FF26C4" w:rsidP="004C17FD">
      <w:pPr>
        <w:pStyle w:val="3"/>
        <w:spacing w:before="156" w:after="156"/>
      </w:pPr>
      <w:r w:rsidRPr="004C17FD">
        <w:rPr>
          <w:rFonts w:hint="eastAsia"/>
        </w:rPr>
        <w:t>前端收费</w:t>
      </w:r>
    </w:p>
    <w:tbl>
      <w:tblPr>
        <w:tblpPr w:leftFromText="180" w:rightFromText="180" w:vertAnchor="text"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27"/>
        <w:gridCol w:w="2478"/>
        <w:gridCol w:w="2567"/>
      </w:tblGrid>
      <w:tr w:rsidR="0025252A" w:rsidTr="00C30A00">
        <w:trPr>
          <w:trHeight w:val="296"/>
        </w:trPr>
        <w:tc>
          <w:tcPr>
            <w:tcW w:w="5000" w:type="pct"/>
            <w:gridSpan w:val="3"/>
            <w:tcBorders>
              <w:top w:val="nil"/>
              <w:left w:val="nil"/>
              <w:bottom w:val="single" w:sz="4" w:space="0" w:color="auto"/>
              <w:right w:val="nil"/>
            </w:tcBorders>
            <w:vAlign w:val="center"/>
          </w:tcPr>
          <w:p w:rsidR="0025252A" w:rsidRPr="00BB2B13" w:rsidRDefault="0025252A" w:rsidP="003502F4">
            <w:pPr>
              <w:jc w:val="center"/>
              <w:rPr>
                <w:rFonts w:asciiTheme="minorHAnsi"/>
                <w:szCs w:val="22"/>
              </w:rPr>
            </w:pPr>
            <w:r>
              <w:rPr>
                <w:rFonts w:asciiTheme="minorHAnsi"/>
                <w:szCs w:val="22"/>
              </w:rPr>
              <w:t>同泰泰裕三个月定开债</w:t>
            </w:r>
            <w:r>
              <w:rPr>
                <w:rFonts w:asciiTheme="minorHAnsi"/>
                <w:szCs w:val="22"/>
              </w:rPr>
              <w:t>A</w:t>
            </w:r>
          </w:p>
        </w:tc>
      </w:tr>
      <w:tr w:rsidR="0025252A" w:rsidTr="00C30A00">
        <w:trPr>
          <w:trHeight w:val="296"/>
        </w:trPr>
        <w:tc>
          <w:tcPr>
            <w:tcW w:w="2219" w:type="pct"/>
            <w:tcBorders>
              <w:top w:val="single" w:sz="4" w:space="0" w:color="auto"/>
            </w:tcBorders>
            <w:vAlign w:val="center"/>
          </w:tcPr>
          <w:p w:rsidR="0025252A" w:rsidRPr="00BB2B13" w:rsidRDefault="0025252A" w:rsidP="003502F4">
            <w:pPr>
              <w:jc w:val="center"/>
              <w:rPr>
                <w:rFonts w:asciiTheme="minorHAnsi"/>
                <w:szCs w:val="22"/>
              </w:rPr>
            </w:pPr>
            <w:r w:rsidRPr="00D73075">
              <w:rPr>
                <w:rFonts w:asciiTheme="minorHAnsi" w:hint="eastAsia"/>
                <w:szCs w:val="22"/>
              </w:rPr>
              <w:t>申购金额（</w:t>
            </w:r>
            <w:r w:rsidRPr="00D73075">
              <w:rPr>
                <w:rFonts w:asciiTheme="minorHAnsi" w:hint="eastAsia"/>
                <w:szCs w:val="22"/>
              </w:rPr>
              <w:t>M</w:t>
            </w:r>
            <w:r w:rsidRPr="00D73075">
              <w:rPr>
                <w:rFonts w:asciiTheme="minorHAnsi" w:hint="eastAsia"/>
                <w:szCs w:val="22"/>
              </w:rPr>
              <w:t>）</w:t>
            </w:r>
          </w:p>
        </w:tc>
        <w:tc>
          <w:tcPr>
            <w:tcW w:w="1366" w:type="pct"/>
            <w:tcBorders>
              <w:top w:val="single" w:sz="4" w:space="0" w:color="auto"/>
            </w:tcBorders>
            <w:vAlign w:val="center"/>
          </w:tcPr>
          <w:p w:rsidR="0025252A" w:rsidRPr="00BB2B13" w:rsidRDefault="0025252A" w:rsidP="003502F4">
            <w:pPr>
              <w:jc w:val="center"/>
              <w:rPr>
                <w:rFonts w:asciiTheme="minorHAnsi"/>
                <w:szCs w:val="22"/>
              </w:rPr>
            </w:pPr>
            <w:r w:rsidRPr="00BB2B13">
              <w:rPr>
                <w:rFonts w:asciiTheme="minorHAnsi"/>
                <w:szCs w:val="22"/>
              </w:rPr>
              <w:t>申购费率</w:t>
            </w:r>
          </w:p>
        </w:tc>
        <w:tc>
          <w:tcPr>
            <w:tcW w:w="1415" w:type="pct"/>
            <w:tcBorders>
              <w:top w:val="single" w:sz="4" w:space="0" w:color="auto"/>
            </w:tcBorders>
            <w:vAlign w:val="center"/>
          </w:tcPr>
          <w:p w:rsidR="0025252A" w:rsidRPr="00BB2B13" w:rsidRDefault="0025252A" w:rsidP="003502F4">
            <w:pPr>
              <w:jc w:val="center"/>
              <w:rPr>
                <w:rFonts w:asciiTheme="minorHAnsi"/>
                <w:szCs w:val="22"/>
              </w:rPr>
            </w:pPr>
            <w:r w:rsidRPr="00BB2B13">
              <w:rPr>
                <w:rFonts w:asciiTheme="minorHAnsi"/>
                <w:szCs w:val="22"/>
              </w:rPr>
              <w:t>备注</w:t>
            </w:r>
          </w:p>
        </w:tc>
      </w:tr>
      <w:tr w:rsidR="0025252A" w:rsidTr="00C30A00">
        <w:trPr>
          <w:trHeight w:val="177"/>
        </w:trPr>
        <w:tc>
          <w:tcPr>
            <w:tcW w:w="2219" w:type="pct"/>
            <w:tcBorders>
              <w:bottom w:val="single" w:sz="4" w:space="0" w:color="auto"/>
            </w:tcBorders>
            <w:vAlign w:val="center"/>
          </w:tcPr>
          <w:p w:rsidR="0025252A" w:rsidRPr="00BB2B13" w:rsidRDefault="0025252A" w:rsidP="003502F4">
            <w:pPr>
              <w:pStyle w:val="aa"/>
            </w:pPr>
            <w:r>
              <w:t>M&lt;1,000,000</w:t>
            </w:r>
          </w:p>
        </w:tc>
        <w:tc>
          <w:tcPr>
            <w:tcW w:w="1366" w:type="pct"/>
            <w:tcBorders>
              <w:bottom w:val="single" w:sz="4" w:space="0" w:color="auto"/>
            </w:tcBorders>
            <w:vAlign w:val="center"/>
          </w:tcPr>
          <w:p w:rsidR="0025252A" w:rsidRPr="00BB2B13" w:rsidRDefault="0025252A" w:rsidP="008A5705">
            <w:pPr>
              <w:pStyle w:val="aa"/>
            </w:pPr>
            <w:r>
              <w:t>0.30%</w:t>
            </w:r>
          </w:p>
        </w:tc>
        <w:tc>
          <w:tcPr>
            <w:tcW w:w="1415" w:type="pct"/>
            <w:tcBorders>
              <w:bottom w:val="single" w:sz="4" w:space="0" w:color="auto"/>
            </w:tcBorders>
            <w:vAlign w:val="center"/>
          </w:tcPr>
          <w:p w:rsidR="0025252A" w:rsidRPr="00BB2B13" w:rsidRDefault="0025252A" w:rsidP="000E3BCE">
            <w:pPr>
              <w:jc w:val="center"/>
            </w:pPr>
            <w:r>
              <w:t>-</w:t>
            </w:r>
          </w:p>
        </w:tc>
      </w:tr>
      <w:tr w:rsidR="0025252A" w:rsidTr="00C30A00">
        <w:trPr>
          <w:trHeight w:val="177"/>
        </w:trPr>
        <w:tc>
          <w:tcPr>
            <w:tcW w:w="2219" w:type="pct"/>
            <w:tcBorders>
              <w:bottom w:val="single" w:sz="4" w:space="0" w:color="auto"/>
            </w:tcBorders>
            <w:vAlign w:val="center"/>
          </w:tcPr>
          <w:p w:rsidR="0025252A" w:rsidRPr="00BB2B13" w:rsidRDefault="0025252A" w:rsidP="003502F4">
            <w:pPr>
              <w:pStyle w:val="aa"/>
            </w:pPr>
            <w:r>
              <w:t>1,000,000</w:t>
            </w:r>
            <w:r>
              <w:t>≤</w:t>
            </w:r>
            <w:r>
              <w:t>M&lt;5,000,000</w:t>
            </w:r>
          </w:p>
        </w:tc>
        <w:tc>
          <w:tcPr>
            <w:tcW w:w="1366" w:type="pct"/>
            <w:tcBorders>
              <w:bottom w:val="single" w:sz="4" w:space="0" w:color="auto"/>
            </w:tcBorders>
            <w:vAlign w:val="center"/>
          </w:tcPr>
          <w:p w:rsidR="0025252A" w:rsidRPr="00BB2B13" w:rsidRDefault="0025252A" w:rsidP="008A5705">
            <w:pPr>
              <w:pStyle w:val="aa"/>
            </w:pPr>
            <w:r>
              <w:t>0.10%</w:t>
            </w:r>
          </w:p>
        </w:tc>
        <w:tc>
          <w:tcPr>
            <w:tcW w:w="1415" w:type="pct"/>
            <w:tcBorders>
              <w:bottom w:val="single" w:sz="4" w:space="0" w:color="auto"/>
            </w:tcBorders>
            <w:vAlign w:val="center"/>
          </w:tcPr>
          <w:p w:rsidR="0025252A" w:rsidRPr="00BB2B13" w:rsidRDefault="0025252A" w:rsidP="000E3BCE">
            <w:pPr>
              <w:jc w:val="center"/>
            </w:pPr>
            <w:r>
              <w:t>-</w:t>
            </w:r>
          </w:p>
        </w:tc>
      </w:tr>
      <w:tr w:rsidR="0025252A" w:rsidTr="00C30A00">
        <w:trPr>
          <w:trHeight w:val="177"/>
        </w:trPr>
        <w:tc>
          <w:tcPr>
            <w:tcW w:w="2219" w:type="pct"/>
            <w:tcBorders>
              <w:bottom w:val="single" w:sz="4" w:space="0" w:color="auto"/>
            </w:tcBorders>
            <w:vAlign w:val="center"/>
          </w:tcPr>
          <w:p w:rsidR="0025252A" w:rsidRPr="00BB2B13" w:rsidRDefault="0025252A" w:rsidP="003502F4">
            <w:pPr>
              <w:pStyle w:val="aa"/>
            </w:pPr>
            <w:r>
              <w:t>M</w:t>
            </w:r>
            <w:r>
              <w:t>≥</w:t>
            </w:r>
            <w:r>
              <w:t>5,000,000</w:t>
            </w:r>
          </w:p>
        </w:tc>
        <w:tc>
          <w:tcPr>
            <w:tcW w:w="1366" w:type="pct"/>
            <w:tcBorders>
              <w:bottom w:val="single" w:sz="4" w:space="0" w:color="auto"/>
            </w:tcBorders>
            <w:vAlign w:val="center"/>
          </w:tcPr>
          <w:p w:rsidR="0025252A" w:rsidRPr="00BB2B13" w:rsidRDefault="0025252A" w:rsidP="008A5705">
            <w:pPr>
              <w:pStyle w:val="aa"/>
            </w:pPr>
            <w:r>
              <w:t>1,000元/笔</w:t>
            </w:r>
          </w:p>
        </w:tc>
        <w:tc>
          <w:tcPr>
            <w:tcW w:w="1415" w:type="pct"/>
            <w:tcBorders>
              <w:bottom w:val="single" w:sz="4" w:space="0" w:color="auto"/>
            </w:tcBorders>
            <w:vAlign w:val="center"/>
          </w:tcPr>
          <w:p w:rsidR="0025252A" w:rsidRPr="00BB2B13" w:rsidRDefault="0025252A" w:rsidP="000E3BCE">
            <w:pPr>
              <w:jc w:val="center"/>
            </w:pPr>
            <w:r>
              <w:t>-</w:t>
            </w:r>
          </w:p>
        </w:tc>
      </w:tr>
    </w:tbl>
    <w:p w:rsidR="0025252A" w:rsidRDefault="0025252A" w:rsidP="00283D98">
      <w:pPr>
        <w:rPr>
          <w:szCs w:val="22"/>
        </w:rPr>
      </w:pPr>
      <w:r w:rsidRPr="00C10F53">
        <w:rPr>
          <w:szCs w:val="22"/>
        </w:rPr>
        <w:t>注：金额单位为人民币元。</w:t>
      </w:r>
    </w:p>
    <w:p w:rsidR="0025252A" w:rsidRDefault="0025252A" w:rsidP="00C10F53"/>
    <w:p w:rsidR="00857742" w:rsidRDefault="00857742" w:rsidP="004C17FD">
      <w:pPr>
        <w:pStyle w:val="3"/>
        <w:spacing w:before="156" w:after="156"/>
      </w:pPr>
      <w:r w:rsidRPr="004C17FD">
        <w:rPr>
          <w:rFonts w:hint="eastAsia"/>
        </w:rPr>
        <w:t>后端收费</w:t>
      </w:r>
    </w:p>
    <w:p w:rsidR="0025252A" w:rsidRDefault="0025252A" w:rsidP="00283D98">
      <w:pPr>
        <w:ind w:firstLineChars="200" w:firstLine="420"/>
        <w:rPr>
          <w:szCs w:val="22"/>
        </w:rPr>
      </w:pPr>
      <w:r w:rsidRPr="00C10F53">
        <w:rPr>
          <w:szCs w:val="22"/>
        </w:rPr>
        <w:t>无。</w:t>
      </w:r>
    </w:p>
    <w:p w:rsidR="0025252A" w:rsidRDefault="0025252A" w:rsidP="00C10F53">
      <w:pPr>
        <w:rPr>
          <w:sz w:val="24"/>
        </w:rPr>
      </w:pPr>
    </w:p>
    <w:p w:rsidR="00857742" w:rsidRDefault="00857742" w:rsidP="00AF7412">
      <w:pPr>
        <w:pStyle w:val="2"/>
        <w:spacing w:before="156" w:after="156"/>
      </w:pPr>
      <w:r w:rsidRPr="00857742">
        <w:rPr>
          <w:rFonts w:hint="eastAsia"/>
        </w:rPr>
        <w:t>其他与申购相关的事项</w:t>
      </w:r>
    </w:p>
    <w:p w:rsidR="00857742" w:rsidRDefault="00857742" w:rsidP="0034764F">
      <w:pPr>
        <w:pStyle w:val="ac"/>
        <w:ind w:firstLine="420"/>
        <w:rPr>
          <w:sz w:val="24"/>
        </w:rPr>
      </w:pPr>
      <w:r w:rsidRPr="00C10F53">
        <w:t>(1)申购以金额申请，遵循</w:t>
      </w:r>
      <w:r w:rsidRPr="00C10F53">
        <w:t>“</w:t>
      </w:r>
      <w:r w:rsidRPr="00C10F53">
        <w:t>未知价</w:t>
      </w:r>
      <w:r w:rsidRPr="00C10F53">
        <w:t>”</w:t>
      </w:r>
      <w:r w:rsidRPr="00C10F53">
        <w:t>原则，即申购价格以申请当日收市后计算的基金份额净值为基准进行计算。</w:t>
      </w:r>
      <w:r w:rsidRPr="00C10F53">
        <w:br/>
        <w:t xml:space="preserve">    (2)投资人申购基金份额时，必须全额交付申购款项，投资人交付申购款项，申购成立；基金份额登记机构确认基金份额时，申购生效；若申购资金在规定时间内未全额到账则申购不成立，若申购不成功或无效，申购款项将退回投资者账户。</w:t>
      </w:r>
      <w:r w:rsidRPr="00C10F53">
        <w:br/>
        <w:t xml:space="preserve">    (3)基金管理人可在法律法规允许的范围内，依法对上述申购和赎回申请的确认时间进行调整，并必须在调整实施日前按照《公开募集证券投资基金信息披露管理办法》的有关规定在规定媒介上公告。</w:t>
      </w:r>
      <w:r w:rsidRPr="00C10F53">
        <w:br/>
        <w:t xml:space="preserve">    (4)投资者可享受申购费率优惠，费率优惠内容以各销售机构公告为准。</w:t>
      </w:r>
    </w:p>
    <w:p w:rsidR="00857742" w:rsidRDefault="00857742" w:rsidP="00AF7412">
      <w:pPr>
        <w:pStyle w:val="1"/>
        <w:spacing w:before="156" w:after="156"/>
      </w:pPr>
      <w:r w:rsidRPr="00857742">
        <w:rPr>
          <w:rFonts w:hint="eastAsia"/>
        </w:rPr>
        <w:t>日常赎回业务</w:t>
      </w:r>
    </w:p>
    <w:p w:rsidR="00857742" w:rsidRDefault="00857742" w:rsidP="00AF7412">
      <w:pPr>
        <w:pStyle w:val="2"/>
        <w:spacing w:before="156" w:after="156"/>
      </w:pPr>
      <w:r w:rsidRPr="00857742">
        <w:rPr>
          <w:rFonts w:hint="eastAsia"/>
        </w:rPr>
        <w:t>赎回份额限制</w:t>
      </w:r>
    </w:p>
    <w:p w:rsidR="00857742" w:rsidRDefault="00857742" w:rsidP="0034764F">
      <w:pPr>
        <w:pStyle w:val="ac"/>
        <w:ind w:firstLine="420"/>
      </w:pPr>
      <w:r w:rsidRPr="00C10F53">
        <w:t>投资者可将其持有的全部或部分基金份额赎回。本基金投资人在单个交易账户的最低基金份额不低于10份，若由于基金份额减少类业务(如赎回、转换转出等)导致投资人单个基金交易账户基金份额余额不足10份时，基金管理人有权将投资人在该账户保留的本基金份额一次性全部赎回。</w:t>
      </w:r>
    </w:p>
    <w:p w:rsidR="00857742" w:rsidRDefault="00857742" w:rsidP="00AF7412">
      <w:pPr>
        <w:pStyle w:val="2"/>
        <w:spacing w:before="156" w:after="156"/>
      </w:pPr>
      <w:r w:rsidRPr="00857742">
        <w:rPr>
          <w:rFonts w:hint="eastAsia"/>
        </w:rPr>
        <w:t>赎回费率</w:t>
      </w:r>
    </w:p>
    <w:p w:rsidR="00857742" w:rsidRPr="00D23B56" w:rsidRDefault="00857742" w:rsidP="0034764F">
      <w:pPr>
        <w:pStyle w:val="ac"/>
        <w:ind w:firstLine="420"/>
      </w:pPr>
    </w:p>
    <w:tbl>
      <w:tblPr>
        <w:tblpPr w:leftFromText="180" w:rightFromText="180" w:vertAnchor="text"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36"/>
        <w:gridCol w:w="4536"/>
      </w:tblGrid>
      <w:tr w:rsidR="007351B4" w:rsidTr="00C30A00">
        <w:trPr>
          <w:trHeight w:val="296"/>
        </w:trPr>
        <w:tc>
          <w:tcPr>
            <w:tcW w:w="5000" w:type="pct"/>
            <w:gridSpan w:val="2"/>
            <w:tcBorders>
              <w:top w:val="nil"/>
              <w:left w:val="nil"/>
              <w:bottom w:val="single" w:sz="4" w:space="0" w:color="auto"/>
              <w:right w:val="nil"/>
            </w:tcBorders>
            <w:vAlign w:val="center"/>
          </w:tcPr>
          <w:p w:rsidR="007351B4" w:rsidRPr="00BB2B13" w:rsidRDefault="007351B4" w:rsidP="003502F4">
            <w:pPr>
              <w:jc w:val="center"/>
              <w:rPr>
                <w:rFonts w:asciiTheme="minorHAnsi"/>
                <w:szCs w:val="22"/>
              </w:rPr>
            </w:pPr>
            <w:r>
              <w:rPr>
                <w:rFonts w:asciiTheme="minorHAnsi" w:hint="eastAsia"/>
                <w:szCs w:val="22"/>
              </w:rPr>
              <w:t>同泰泰裕三个月定开债</w:t>
            </w:r>
            <w:r>
              <w:rPr>
                <w:rFonts w:asciiTheme="minorHAnsi" w:hint="eastAsia"/>
                <w:szCs w:val="22"/>
              </w:rPr>
              <w:t>A</w:t>
            </w:r>
          </w:p>
        </w:tc>
      </w:tr>
      <w:tr w:rsidR="007351B4" w:rsidTr="00C30A00">
        <w:trPr>
          <w:trHeight w:val="296"/>
        </w:trPr>
        <w:tc>
          <w:tcPr>
            <w:tcW w:w="2500" w:type="pct"/>
            <w:tcBorders>
              <w:top w:val="single" w:sz="4" w:space="0" w:color="auto"/>
            </w:tcBorders>
            <w:vAlign w:val="center"/>
          </w:tcPr>
          <w:p w:rsidR="007351B4" w:rsidRPr="00BB2B13" w:rsidRDefault="007351B4" w:rsidP="003502F4">
            <w:pPr>
              <w:jc w:val="center"/>
              <w:rPr>
                <w:rFonts w:asciiTheme="minorHAnsi"/>
                <w:szCs w:val="22"/>
              </w:rPr>
            </w:pPr>
            <w:r>
              <w:rPr>
                <w:rFonts w:asciiTheme="minorHAnsi"/>
                <w:szCs w:val="22"/>
              </w:rPr>
              <w:t>持有期限</w:t>
            </w:r>
            <w:r w:rsidR="00FD5445" w:rsidRPr="00AC5670">
              <w:rPr>
                <w:rFonts w:asciiTheme="minorHAnsi" w:hint="eastAsia"/>
                <w:szCs w:val="22"/>
              </w:rPr>
              <w:t>（</w:t>
            </w:r>
            <w:r w:rsidR="00FD5445" w:rsidRPr="00AC5670">
              <w:rPr>
                <w:rFonts w:asciiTheme="minorHAnsi" w:hint="eastAsia"/>
                <w:szCs w:val="22"/>
              </w:rPr>
              <w:t>N</w:t>
            </w:r>
            <w:r w:rsidR="00FD5445" w:rsidRPr="00AC5670">
              <w:rPr>
                <w:rFonts w:asciiTheme="minorHAnsi" w:hint="eastAsia"/>
                <w:szCs w:val="22"/>
              </w:rPr>
              <w:t>）</w:t>
            </w:r>
          </w:p>
        </w:tc>
        <w:tc>
          <w:tcPr>
            <w:tcW w:w="2500" w:type="pct"/>
            <w:tcBorders>
              <w:top w:val="single" w:sz="4" w:space="0" w:color="auto"/>
            </w:tcBorders>
            <w:vAlign w:val="center"/>
          </w:tcPr>
          <w:p w:rsidR="007351B4" w:rsidRPr="00BB2B13" w:rsidRDefault="007351B4" w:rsidP="003502F4">
            <w:pPr>
              <w:jc w:val="center"/>
              <w:rPr>
                <w:rFonts w:asciiTheme="minorHAnsi"/>
                <w:szCs w:val="22"/>
              </w:rPr>
            </w:pPr>
            <w:r>
              <w:rPr>
                <w:rFonts w:asciiTheme="minorHAnsi" w:hint="eastAsia"/>
                <w:szCs w:val="22"/>
              </w:rPr>
              <w:t>赎回</w:t>
            </w:r>
            <w:r>
              <w:rPr>
                <w:rFonts w:asciiTheme="minorHAnsi"/>
                <w:szCs w:val="22"/>
              </w:rPr>
              <w:t>费率</w:t>
            </w:r>
          </w:p>
        </w:tc>
      </w:tr>
      <w:tr w:rsidR="007351B4" w:rsidTr="00C30A00">
        <w:trPr>
          <w:trHeight w:val="237"/>
        </w:trPr>
        <w:tc>
          <w:tcPr>
            <w:tcW w:w="2500" w:type="pct"/>
            <w:tcBorders>
              <w:bottom w:val="single" w:sz="4" w:space="0" w:color="auto"/>
            </w:tcBorders>
            <w:vAlign w:val="center"/>
          </w:tcPr>
          <w:p w:rsidR="007351B4" w:rsidRPr="00BB2B13" w:rsidRDefault="007351B4" w:rsidP="003502F4">
            <w:pPr>
              <w:pStyle w:val="aa"/>
              <w:rPr>
                <w:rFonts w:asciiTheme="minorHAnsi" w:hAnsiTheme="minorHAnsi" w:cstheme="minorBidi"/>
                <w:szCs w:val="22"/>
              </w:rPr>
            </w:pPr>
            <w:r>
              <w:t>N&lt;7天</w:t>
            </w:r>
          </w:p>
        </w:tc>
        <w:tc>
          <w:tcPr>
            <w:tcW w:w="2500" w:type="pct"/>
            <w:tcBorders>
              <w:bottom w:val="single" w:sz="4" w:space="0" w:color="auto"/>
            </w:tcBorders>
            <w:vAlign w:val="center"/>
          </w:tcPr>
          <w:p w:rsidR="007351B4" w:rsidRPr="00BB2B13" w:rsidRDefault="007351B4" w:rsidP="008A5705">
            <w:pPr>
              <w:pStyle w:val="aa"/>
              <w:rPr>
                <w:rFonts w:asciiTheme="minorHAnsi" w:hAnsiTheme="minorHAnsi" w:cstheme="minorBidi"/>
                <w:szCs w:val="22"/>
              </w:rPr>
            </w:pPr>
            <w:r>
              <w:t>1.50%</w:t>
            </w:r>
          </w:p>
        </w:tc>
      </w:tr>
      <w:tr w:rsidR="007351B4" w:rsidTr="00C30A00">
        <w:trPr>
          <w:trHeight w:val="237"/>
        </w:trPr>
        <w:tc>
          <w:tcPr>
            <w:tcW w:w="2500" w:type="pct"/>
            <w:tcBorders>
              <w:bottom w:val="single" w:sz="4" w:space="0" w:color="auto"/>
            </w:tcBorders>
            <w:vAlign w:val="center"/>
          </w:tcPr>
          <w:p w:rsidR="007351B4" w:rsidRPr="00BB2B13" w:rsidRDefault="007351B4" w:rsidP="003502F4">
            <w:pPr>
              <w:pStyle w:val="aa"/>
              <w:rPr>
                <w:rFonts w:asciiTheme="minorHAnsi" w:hAnsiTheme="minorHAnsi" w:cstheme="minorBidi"/>
                <w:szCs w:val="22"/>
              </w:rPr>
            </w:pPr>
            <w:r>
              <w:t>7天</w:t>
            </w:r>
            <w:r>
              <w:t>≤</w:t>
            </w:r>
            <w:r>
              <w:t>N&lt;30天</w:t>
            </w:r>
          </w:p>
        </w:tc>
        <w:tc>
          <w:tcPr>
            <w:tcW w:w="2500" w:type="pct"/>
            <w:tcBorders>
              <w:bottom w:val="single" w:sz="4" w:space="0" w:color="auto"/>
            </w:tcBorders>
            <w:vAlign w:val="center"/>
          </w:tcPr>
          <w:p w:rsidR="007351B4" w:rsidRPr="00BB2B13" w:rsidRDefault="007351B4" w:rsidP="008A5705">
            <w:pPr>
              <w:pStyle w:val="aa"/>
              <w:rPr>
                <w:rFonts w:asciiTheme="minorHAnsi" w:hAnsiTheme="minorHAnsi" w:cstheme="minorBidi"/>
                <w:szCs w:val="22"/>
              </w:rPr>
            </w:pPr>
            <w:r>
              <w:t>0.10%</w:t>
            </w:r>
          </w:p>
        </w:tc>
      </w:tr>
      <w:tr w:rsidR="007351B4" w:rsidTr="00C30A00">
        <w:trPr>
          <w:trHeight w:val="237"/>
        </w:trPr>
        <w:tc>
          <w:tcPr>
            <w:tcW w:w="2500" w:type="pct"/>
            <w:tcBorders>
              <w:bottom w:val="single" w:sz="4" w:space="0" w:color="auto"/>
            </w:tcBorders>
            <w:vAlign w:val="center"/>
          </w:tcPr>
          <w:p w:rsidR="007351B4" w:rsidRPr="00BB2B13" w:rsidRDefault="007351B4" w:rsidP="003502F4">
            <w:pPr>
              <w:pStyle w:val="aa"/>
              <w:rPr>
                <w:rFonts w:asciiTheme="minorHAnsi" w:hAnsiTheme="minorHAnsi" w:cstheme="minorBidi"/>
                <w:szCs w:val="22"/>
              </w:rPr>
            </w:pPr>
            <w:r>
              <w:t>N</w:t>
            </w:r>
            <w:r>
              <w:t>≥</w:t>
            </w:r>
            <w:r>
              <w:t>30天</w:t>
            </w:r>
          </w:p>
        </w:tc>
        <w:tc>
          <w:tcPr>
            <w:tcW w:w="2500" w:type="pct"/>
            <w:tcBorders>
              <w:bottom w:val="single" w:sz="4" w:space="0" w:color="auto"/>
            </w:tcBorders>
            <w:vAlign w:val="center"/>
          </w:tcPr>
          <w:p w:rsidR="007351B4" w:rsidRPr="00BB2B13" w:rsidRDefault="007351B4" w:rsidP="008A5705">
            <w:pPr>
              <w:pStyle w:val="aa"/>
              <w:rPr>
                <w:rFonts w:asciiTheme="minorHAnsi" w:hAnsiTheme="minorHAnsi" w:cstheme="minorBidi"/>
                <w:szCs w:val="22"/>
              </w:rPr>
            </w:pPr>
            <w:r>
              <w:t>0.00%</w:t>
            </w:r>
          </w:p>
        </w:tc>
      </w:tr>
      <w:tr w:rsidR="007351B4" w:rsidTr="00C30A00">
        <w:trPr>
          <w:trHeight w:val="296"/>
        </w:trPr>
        <w:tc>
          <w:tcPr>
            <w:tcW w:w="5000" w:type="pct"/>
            <w:gridSpan w:val="2"/>
            <w:tcBorders>
              <w:top w:val="nil"/>
              <w:left w:val="nil"/>
              <w:bottom w:val="single" w:sz="4" w:space="0" w:color="auto"/>
              <w:right w:val="nil"/>
            </w:tcBorders>
            <w:vAlign w:val="center"/>
          </w:tcPr>
          <w:p w:rsidR="007351B4" w:rsidRPr="00BB2B13" w:rsidRDefault="007351B4" w:rsidP="003502F4">
            <w:pPr>
              <w:jc w:val="center"/>
              <w:rPr>
                <w:rFonts w:asciiTheme="minorHAnsi"/>
                <w:szCs w:val="22"/>
              </w:rPr>
            </w:pPr>
            <w:r>
              <w:rPr>
                <w:rFonts w:asciiTheme="minorHAnsi" w:hint="eastAsia"/>
                <w:szCs w:val="22"/>
              </w:rPr>
              <w:t>同泰泰裕三个月定开债</w:t>
            </w:r>
            <w:r>
              <w:rPr>
                <w:rFonts w:asciiTheme="minorHAnsi" w:hint="eastAsia"/>
                <w:szCs w:val="22"/>
              </w:rPr>
              <w:t>C</w:t>
            </w:r>
          </w:p>
        </w:tc>
      </w:tr>
      <w:tr w:rsidR="007351B4" w:rsidTr="00C30A00">
        <w:trPr>
          <w:trHeight w:val="296"/>
        </w:trPr>
        <w:tc>
          <w:tcPr>
            <w:tcW w:w="2500" w:type="pct"/>
            <w:tcBorders>
              <w:top w:val="single" w:sz="4" w:space="0" w:color="auto"/>
            </w:tcBorders>
            <w:vAlign w:val="center"/>
          </w:tcPr>
          <w:p w:rsidR="007351B4" w:rsidRPr="00BB2B13" w:rsidRDefault="007351B4" w:rsidP="003502F4">
            <w:pPr>
              <w:jc w:val="center"/>
              <w:rPr>
                <w:rFonts w:asciiTheme="minorHAnsi"/>
                <w:szCs w:val="22"/>
              </w:rPr>
            </w:pPr>
            <w:r>
              <w:rPr>
                <w:rFonts w:asciiTheme="minorHAnsi"/>
                <w:szCs w:val="22"/>
              </w:rPr>
              <w:t>持有期限</w:t>
            </w:r>
            <w:r w:rsidR="00FD5445" w:rsidRPr="00AC5670">
              <w:rPr>
                <w:rFonts w:asciiTheme="minorHAnsi" w:hint="eastAsia"/>
                <w:szCs w:val="22"/>
              </w:rPr>
              <w:t>（</w:t>
            </w:r>
            <w:r w:rsidR="00FD5445" w:rsidRPr="00AC5670">
              <w:rPr>
                <w:rFonts w:asciiTheme="minorHAnsi" w:hint="eastAsia"/>
                <w:szCs w:val="22"/>
              </w:rPr>
              <w:t>N</w:t>
            </w:r>
            <w:r w:rsidR="00FD5445" w:rsidRPr="00AC5670">
              <w:rPr>
                <w:rFonts w:asciiTheme="minorHAnsi" w:hint="eastAsia"/>
                <w:szCs w:val="22"/>
              </w:rPr>
              <w:t>）</w:t>
            </w:r>
          </w:p>
        </w:tc>
        <w:tc>
          <w:tcPr>
            <w:tcW w:w="2500" w:type="pct"/>
            <w:tcBorders>
              <w:top w:val="single" w:sz="4" w:space="0" w:color="auto"/>
            </w:tcBorders>
            <w:vAlign w:val="center"/>
          </w:tcPr>
          <w:p w:rsidR="007351B4" w:rsidRPr="00BB2B13" w:rsidRDefault="007351B4" w:rsidP="003502F4">
            <w:pPr>
              <w:jc w:val="center"/>
              <w:rPr>
                <w:rFonts w:asciiTheme="minorHAnsi"/>
                <w:szCs w:val="22"/>
              </w:rPr>
            </w:pPr>
            <w:r>
              <w:rPr>
                <w:rFonts w:asciiTheme="minorHAnsi" w:hint="eastAsia"/>
                <w:szCs w:val="22"/>
              </w:rPr>
              <w:t>赎回</w:t>
            </w:r>
            <w:r>
              <w:rPr>
                <w:rFonts w:asciiTheme="minorHAnsi"/>
                <w:szCs w:val="22"/>
              </w:rPr>
              <w:t>费率</w:t>
            </w:r>
          </w:p>
        </w:tc>
      </w:tr>
      <w:tr w:rsidR="007351B4" w:rsidTr="00C30A00">
        <w:trPr>
          <w:trHeight w:val="237"/>
        </w:trPr>
        <w:tc>
          <w:tcPr>
            <w:tcW w:w="2500" w:type="pct"/>
            <w:tcBorders>
              <w:bottom w:val="single" w:sz="4" w:space="0" w:color="auto"/>
            </w:tcBorders>
            <w:vAlign w:val="center"/>
          </w:tcPr>
          <w:p w:rsidR="007351B4" w:rsidRPr="00BB2B13" w:rsidRDefault="007351B4" w:rsidP="003502F4">
            <w:pPr>
              <w:pStyle w:val="aa"/>
              <w:rPr>
                <w:rFonts w:asciiTheme="minorHAnsi" w:hAnsiTheme="minorHAnsi" w:cstheme="minorBidi"/>
                <w:szCs w:val="22"/>
              </w:rPr>
            </w:pPr>
            <w:r>
              <w:t>N&lt;7天</w:t>
            </w:r>
          </w:p>
        </w:tc>
        <w:tc>
          <w:tcPr>
            <w:tcW w:w="2500" w:type="pct"/>
            <w:tcBorders>
              <w:bottom w:val="single" w:sz="4" w:space="0" w:color="auto"/>
            </w:tcBorders>
            <w:vAlign w:val="center"/>
          </w:tcPr>
          <w:p w:rsidR="007351B4" w:rsidRPr="00BB2B13" w:rsidRDefault="007351B4" w:rsidP="008A5705">
            <w:pPr>
              <w:pStyle w:val="aa"/>
              <w:rPr>
                <w:rFonts w:asciiTheme="minorHAnsi" w:hAnsiTheme="minorHAnsi" w:cstheme="minorBidi"/>
                <w:szCs w:val="22"/>
              </w:rPr>
            </w:pPr>
            <w:r>
              <w:t>1.50%</w:t>
            </w:r>
          </w:p>
        </w:tc>
      </w:tr>
      <w:tr w:rsidR="007351B4" w:rsidTr="00C30A00">
        <w:trPr>
          <w:trHeight w:val="237"/>
        </w:trPr>
        <w:tc>
          <w:tcPr>
            <w:tcW w:w="2500" w:type="pct"/>
            <w:tcBorders>
              <w:bottom w:val="single" w:sz="4" w:space="0" w:color="auto"/>
            </w:tcBorders>
            <w:vAlign w:val="center"/>
          </w:tcPr>
          <w:p w:rsidR="007351B4" w:rsidRPr="00BB2B13" w:rsidRDefault="007351B4" w:rsidP="003502F4">
            <w:pPr>
              <w:pStyle w:val="aa"/>
              <w:rPr>
                <w:rFonts w:asciiTheme="minorHAnsi" w:hAnsiTheme="minorHAnsi" w:cstheme="minorBidi"/>
                <w:szCs w:val="22"/>
              </w:rPr>
            </w:pPr>
            <w:r>
              <w:t>7天</w:t>
            </w:r>
            <w:r>
              <w:t>≤</w:t>
            </w:r>
            <w:r>
              <w:t>N&lt;30天</w:t>
            </w:r>
          </w:p>
        </w:tc>
        <w:tc>
          <w:tcPr>
            <w:tcW w:w="2500" w:type="pct"/>
            <w:tcBorders>
              <w:bottom w:val="single" w:sz="4" w:space="0" w:color="auto"/>
            </w:tcBorders>
            <w:vAlign w:val="center"/>
          </w:tcPr>
          <w:p w:rsidR="007351B4" w:rsidRPr="00BB2B13" w:rsidRDefault="007351B4" w:rsidP="008A5705">
            <w:pPr>
              <w:pStyle w:val="aa"/>
              <w:rPr>
                <w:rFonts w:asciiTheme="minorHAnsi" w:hAnsiTheme="minorHAnsi" w:cstheme="minorBidi"/>
                <w:szCs w:val="22"/>
              </w:rPr>
            </w:pPr>
            <w:r>
              <w:t>0.10%</w:t>
            </w:r>
          </w:p>
        </w:tc>
      </w:tr>
      <w:tr w:rsidR="007351B4" w:rsidTr="00C30A00">
        <w:trPr>
          <w:trHeight w:val="237"/>
        </w:trPr>
        <w:tc>
          <w:tcPr>
            <w:tcW w:w="2500" w:type="pct"/>
            <w:tcBorders>
              <w:bottom w:val="single" w:sz="4" w:space="0" w:color="auto"/>
            </w:tcBorders>
            <w:vAlign w:val="center"/>
          </w:tcPr>
          <w:p w:rsidR="007351B4" w:rsidRPr="00BB2B13" w:rsidRDefault="007351B4" w:rsidP="003502F4">
            <w:pPr>
              <w:pStyle w:val="aa"/>
              <w:rPr>
                <w:rFonts w:asciiTheme="minorHAnsi" w:hAnsiTheme="minorHAnsi" w:cstheme="minorBidi"/>
                <w:szCs w:val="22"/>
              </w:rPr>
            </w:pPr>
            <w:r>
              <w:t>N</w:t>
            </w:r>
            <w:r>
              <w:t>≥</w:t>
            </w:r>
            <w:r>
              <w:t>30天</w:t>
            </w:r>
          </w:p>
        </w:tc>
        <w:tc>
          <w:tcPr>
            <w:tcW w:w="2500" w:type="pct"/>
            <w:tcBorders>
              <w:bottom w:val="single" w:sz="4" w:space="0" w:color="auto"/>
            </w:tcBorders>
            <w:vAlign w:val="center"/>
          </w:tcPr>
          <w:p w:rsidR="007351B4" w:rsidRPr="00BB2B13" w:rsidRDefault="007351B4" w:rsidP="008A5705">
            <w:pPr>
              <w:pStyle w:val="aa"/>
              <w:rPr>
                <w:rFonts w:asciiTheme="minorHAnsi" w:hAnsiTheme="minorHAnsi" w:cstheme="minorBidi"/>
                <w:szCs w:val="22"/>
              </w:rPr>
            </w:pPr>
            <w:r>
              <w:t>0.00%</w:t>
            </w:r>
          </w:p>
        </w:tc>
      </w:tr>
    </w:tbl>
    <w:p w:rsidR="007351B4" w:rsidRDefault="007351B4" w:rsidP="00283D98">
      <w:pPr>
        <w:rPr>
          <w:szCs w:val="22"/>
        </w:rPr>
      </w:pPr>
      <w:r w:rsidRPr="00C10F53">
        <w:rPr>
          <w:szCs w:val="22"/>
        </w:rPr>
        <w:t>注：N为基金份额持有期限，针对持有期限而言，1个月指30天。</w:t>
      </w:r>
      <w:r w:rsidRPr="00C10F53">
        <w:rPr>
          <w:szCs w:val="22"/>
        </w:rPr>
        <w:br/>
        <w:t>对持续持有基金份额时间少于 1 个月的投资人，将赎回费全额计入基金财产；对持续持有基金份额时间大于等于 1 个月的投资人，不收取赎回费用。</w:t>
      </w:r>
    </w:p>
    <w:p w:rsidR="007351B4" w:rsidRDefault="007351B4" w:rsidP="00C10F53"/>
    <w:p w:rsidR="00857742" w:rsidRDefault="007474A0" w:rsidP="00AF7412">
      <w:pPr>
        <w:pStyle w:val="2"/>
        <w:spacing w:before="156" w:after="156"/>
      </w:pPr>
      <w:r w:rsidRPr="007474A0">
        <w:rPr>
          <w:rFonts w:hint="eastAsia"/>
        </w:rPr>
        <w:t>其他与赎回相关的事项</w:t>
      </w:r>
    </w:p>
    <w:p w:rsidR="007474A0" w:rsidRDefault="007474A0" w:rsidP="0034764F">
      <w:pPr>
        <w:pStyle w:val="ac"/>
        <w:ind w:firstLine="420"/>
      </w:pPr>
      <w:r w:rsidRPr="00C10F53">
        <w:t>(1)赎回以份额申请，遵循</w:t>
      </w:r>
      <w:r w:rsidRPr="00C10F53">
        <w:t>“</w:t>
      </w:r>
      <w:r w:rsidRPr="00C10F53">
        <w:t>未知价</w:t>
      </w:r>
      <w:r w:rsidRPr="00C10F53">
        <w:t>”</w:t>
      </w:r>
      <w:r w:rsidRPr="00C10F53">
        <w:t>原则，即赎回价格以申请当日收市后计算的该类基金份额净值为基准进行计算。</w:t>
      </w:r>
      <w:r w:rsidRPr="00C10F53">
        <w:br/>
        <w:t xml:space="preserve">    (2)基金份额持有人递交赎回申请，赎回成立；基金份额登记机构确认赎回时，赎回生效。投资者赎回申请生效后，基金管理人将在T＋7日(包括该日)内支付赎回款项。</w:t>
      </w:r>
      <w:r w:rsidRPr="00C10F53">
        <w:br/>
        <w:t xml:space="preserve">    (3)在发生巨额赎回或基金合同载明的延缓支付赎回款项的情形时，赎回款项的支付办法参照基金合同有关条款处理。</w:t>
      </w:r>
      <w:r w:rsidRPr="00C10F53">
        <w:br/>
        <w:t xml:space="preserve">    (4)基金管理人可在法律法规允许的范围内，依法对上述申购和赎回申请的确认时间进行调整，并必须在调整实施日前按照《公开募集证券投资基金信息披露管理办法》的有关规定在规定媒介上公告。</w:t>
      </w:r>
    </w:p>
    <w:p w:rsidR="007474A0" w:rsidRDefault="007474A0" w:rsidP="00AF7412">
      <w:pPr>
        <w:pStyle w:val="1"/>
        <w:spacing w:before="156" w:after="156"/>
      </w:pPr>
      <w:r w:rsidRPr="007474A0">
        <w:rPr>
          <w:rFonts w:hint="eastAsia"/>
        </w:rPr>
        <w:t>日常转换业务</w:t>
      </w:r>
    </w:p>
    <w:p w:rsidR="007474A0" w:rsidRDefault="007474A0" w:rsidP="00AF7412">
      <w:pPr>
        <w:pStyle w:val="2"/>
        <w:spacing w:before="156" w:after="156"/>
      </w:pPr>
      <w:r w:rsidRPr="007474A0">
        <w:rPr>
          <w:rFonts w:hint="eastAsia"/>
        </w:rPr>
        <w:t>转换费率</w:t>
      </w:r>
    </w:p>
    <w:p w:rsidR="007474A0" w:rsidRDefault="007474A0" w:rsidP="0034764F">
      <w:pPr>
        <w:pStyle w:val="ac"/>
        <w:ind w:firstLine="420"/>
        <w:rPr>
          <w:b/>
          <w:sz w:val="24"/>
        </w:rPr>
      </w:pPr>
      <w:r w:rsidRPr="00C10F53">
        <w:t>-</w:t>
      </w:r>
    </w:p>
    <w:p w:rsidR="007474A0" w:rsidRDefault="007474A0" w:rsidP="00AF7412">
      <w:pPr>
        <w:pStyle w:val="2"/>
        <w:spacing w:before="156" w:after="156"/>
      </w:pPr>
      <w:r w:rsidRPr="007474A0">
        <w:rPr>
          <w:rFonts w:hint="eastAsia"/>
        </w:rPr>
        <w:t>其他与转换相关的事项</w:t>
      </w:r>
    </w:p>
    <w:p w:rsidR="007474A0" w:rsidRDefault="007474A0" w:rsidP="0034764F">
      <w:pPr>
        <w:pStyle w:val="ac"/>
        <w:ind w:firstLine="420"/>
        <w:rPr>
          <w:b/>
          <w:sz w:val="24"/>
        </w:rPr>
      </w:pPr>
      <w:r w:rsidRPr="00C10F53">
        <w:t>本基金暂不开通转换业务。</w:t>
      </w:r>
    </w:p>
    <w:p w:rsidR="007474A0" w:rsidRDefault="007474A0" w:rsidP="00AF7412">
      <w:pPr>
        <w:pStyle w:val="1"/>
        <w:spacing w:before="156" w:after="156"/>
      </w:pPr>
      <w:r w:rsidRPr="007474A0">
        <w:rPr>
          <w:rFonts w:hint="eastAsia"/>
        </w:rPr>
        <w:t>定期定额投资业务</w:t>
      </w:r>
    </w:p>
    <w:p w:rsidR="007474A0" w:rsidRDefault="007474A0" w:rsidP="0034764F">
      <w:pPr>
        <w:pStyle w:val="ac"/>
        <w:ind w:firstLine="420"/>
      </w:pPr>
      <w:r w:rsidRPr="00C10F53">
        <w:t>本基金暂不开通定期定额投资业务。</w:t>
      </w:r>
    </w:p>
    <w:p w:rsidR="004C17FD" w:rsidRDefault="004C17FD" w:rsidP="00AF7412">
      <w:pPr>
        <w:pStyle w:val="1"/>
        <w:spacing w:before="156" w:after="156"/>
      </w:pPr>
      <w:r w:rsidRPr="004C17FD">
        <w:rPr>
          <w:rFonts w:hint="eastAsia"/>
        </w:rPr>
        <w:t>基金销售机构</w:t>
      </w:r>
    </w:p>
    <w:p w:rsidR="004C17FD" w:rsidRDefault="004C17FD" w:rsidP="00AF7412">
      <w:pPr>
        <w:pStyle w:val="2"/>
        <w:spacing w:before="156" w:after="156"/>
      </w:pPr>
      <w:r w:rsidRPr="004C17FD">
        <w:rPr>
          <w:rFonts w:hint="eastAsia"/>
        </w:rPr>
        <w:t>场外销售机构</w:t>
      </w:r>
    </w:p>
    <w:p w:rsidR="004C17FD" w:rsidRPr="004C17FD" w:rsidRDefault="004C17FD" w:rsidP="004C17FD">
      <w:pPr>
        <w:pStyle w:val="3"/>
        <w:spacing w:before="156" w:after="156"/>
      </w:pPr>
      <w:r w:rsidRPr="004C17FD">
        <w:rPr>
          <w:rFonts w:hint="eastAsia"/>
        </w:rPr>
        <w:t>直销机构</w:t>
      </w:r>
    </w:p>
    <w:p w:rsidR="004C17FD" w:rsidRDefault="004C17FD" w:rsidP="0034764F">
      <w:pPr>
        <w:pStyle w:val="ac"/>
        <w:ind w:firstLine="420"/>
        <w:rPr>
          <w:b/>
          <w:sz w:val="24"/>
        </w:rPr>
      </w:pPr>
      <w:r w:rsidRPr="00C10F53">
        <w:t>(1)同泰基金网上交易平台</w:t>
      </w:r>
      <w:r w:rsidRPr="00C10F53">
        <w:br/>
        <w:t xml:space="preserve">    交易网站：www.tongtaiamc.com</w:t>
      </w:r>
      <w:r w:rsidRPr="00C10F53">
        <w:br/>
        <w:t xml:space="preserve">    客服电话：400-830-1666</w:t>
      </w:r>
      <w:r w:rsidRPr="00C10F53">
        <w:br/>
        <w:t xml:space="preserve">    (2)同泰基金直销交易平台</w:t>
      </w:r>
      <w:r w:rsidRPr="00C10F53">
        <w:br/>
        <w:t xml:space="preserve">    名称：同泰基金管理有限公司</w:t>
      </w:r>
      <w:r w:rsidRPr="00C10F53">
        <w:br/>
        <w:t xml:space="preserve">    办公地址：深圳市福田区华富街道莲花一村社区皇岗路5001号深业上城(南区)T2栋41层</w:t>
      </w:r>
      <w:r w:rsidRPr="00C10F53">
        <w:br/>
        <w:t xml:space="preserve">    法定代表人：马俊生</w:t>
      </w:r>
      <w:r w:rsidRPr="00C10F53">
        <w:br/>
        <w:t xml:space="preserve">    联系人：吴宇擎</w:t>
      </w:r>
      <w:r w:rsidRPr="00C10F53">
        <w:br/>
        <w:t xml:space="preserve">    电话：0755－23537896</w:t>
      </w:r>
      <w:r w:rsidRPr="00C10F53">
        <w:br/>
        <w:t xml:space="preserve">    传真：0755－23537806</w:t>
      </w:r>
      <w:r w:rsidRPr="00C10F53">
        <w:br/>
        <w:t xml:space="preserve">    网址：www.tongtaiamc.com</w:t>
      </w:r>
    </w:p>
    <w:p w:rsidR="004C17FD" w:rsidRPr="004C17FD" w:rsidRDefault="00D7798F" w:rsidP="004C17FD">
      <w:pPr>
        <w:pStyle w:val="3"/>
        <w:spacing w:before="156" w:after="156"/>
      </w:pPr>
      <w:r>
        <w:rPr>
          <w:rFonts w:hint="eastAsia"/>
        </w:rPr>
        <w:t>场外代</w:t>
      </w:r>
      <w:r w:rsidR="004C17FD" w:rsidRPr="004C17FD">
        <w:rPr>
          <w:rFonts w:hint="eastAsia"/>
        </w:rPr>
        <w:t>销机构</w:t>
      </w:r>
    </w:p>
    <w:p w:rsidR="004C17FD" w:rsidRDefault="004C17FD" w:rsidP="0034764F">
      <w:pPr>
        <w:pStyle w:val="ac"/>
        <w:ind w:firstLine="420"/>
      </w:pPr>
      <w:r w:rsidRPr="00C10F53">
        <w:t>本基金代销机构具体以管理人网站公示的代销机构清单为准。查询网址：www.tongtaiamc.com。</w:t>
      </w:r>
    </w:p>
    <w:p w:rsidR="004C17FD" w:rsidRDefault="004C17FD" w:rsidP="00AF7412">
      <w:pPr>
        <w:pStyle w:val="2"/>
        <w:spacing w:before="156" w:after="156"/>
      </w:pPr>
      <w:r w:rsidRPr="004C17FD">
        <w:rPr>
          <w:rFonts w:hint="eastAsia"/>
        </w:rPr>
        <w:t>场内销售机构</w:t>
      </w:r>
    </w:p>
    <w:p w:rsidR="004C17FD" w:rsidRDefault="004C17FD" w:rsidP="0034764F">
      <w:pPr>
        <w:pStyle w:val="ac"/>
        <w:ind w:firstLine="420"/>
      </w:pPr>
      <w:r w:rsidRPr="00C10F53">
        <w:t>-</w:t>
      </w:r>
    </w:p>
    <w:p w:rsidR="004C17FD" w:rsidRDefault="004C17FD" w:rsidP="00AF7412">
      <w:pPr>
        <w:pStyle w:val="1"/>
        <w:spacing w:before="156" w:after="156"/>
      </w:pPr>
      <w:r w:rsidRPr="004C17FD">
        <w:rPr>
          <w:rFonts w:hint="eastAsia"/>
        </w:rPr>
        <w:t>基金份额净值公告/基金收益公告的披露安排</w:t>
      </w:r>
    </w:p>
    <w:p w:rsidR="004C17FD" w:rsidRDefault="004C17FD" w:rsidP="0034764F">
      <w:pPr>
        <w:pStyle w:val="ac"/>
        <w:ind w:firstLine="420"/>
        <w:rPr>
          <w:szCs w:val="18"/>
        </w:rPr>
      </w:pPr>
      <w:r w:rsidRPr="00C10F53">
        <w:t>《基金合同》生效后，在封闭期内，基金管理人应当至少每周在规定网站披露一次各类基金份额净值、基金份额累计净值。 在开放期内，基金管理人应当在不晚于每个开放日的次日，通过规定网站、基金销售机构网站或者营业网点，披露开放日的各类基金份额净值和基金份额累计净值。基金管理人应当在不晚于半年度和年度最后一日的次日，在规定网站披露半年度和年度最后一日的各类基金份额净值和基金份额累计净值。</w:t>
      </w:r>
    </w:p>
    <w:p w:rsidR="004C17FD" w:rsidRDefault="004C17FD" w:rsidP="00AF7412">
      <w:pPr>
        <w:pStyle w:val="1"/>
        <w:spacing w:before="156" w:after="156"/>
      </w:pPr>
      <w:r w:rsidRPr="004C17FD">
        <w:rPr>
          <w:rFonts w:hint="eastAsia"/>
        </w:rPr>
        <w:t>其他需要提示的事项</w:t>
      </w:r>
    </w:p>
    <w:p w:rsidR="004C17FD" w:rsidRDefault="004C17FD" w:rsidP="0034764F">
      <w:pPr>
        <w:pStyle w:val="ac"/>
        <w:ind w:firstLine="420"/>
      </w:pPr>
      <w:r w:rsidRPr="00C10F53">
        <w:t>本公告仅对本基金的开放日常申购、赎回业务事项予以说明。投资者欲了解本基金详细情况，可通过本基金管理人网站(www.tongtaiamc.com)查阅本基金基金合同、招募说明书等相关法律文件。</w:t>
      </w:r>
      <w:r w:rsidRPr="00C10F53">
        <w:br/>
        <w:t xml:space="preserve">    风险提示：本公司承诺以诚实信用、勤勉尽责的原则管理和运作基金资产，但不保证基金一定盈利，也不保证最低收益。管理人管理的基金及其投资管理人员的过往业绩并不代表其将来表现。投资有风险，敬请投资者认真阅读基金的相关法律文件及关注基金特有风险，并选择适合自身风险承受能力的投资品种进行投资。</w:t>
      </w:r>
      <w:r w:rsidRPr="00C10F53">
        <w:br/>
        <w:t xml:space="preserve">    特此公告。</w:t>
      </w:r>
    </w:p>
    <w:p w:rsidR="00EB202B" w:rsidRDefault="00EB202B" w:rsidP="0034764F">
      <w:pPr>
        <w:pStyle w:val="ac"/>
        <w:ind w:firstLine="420"/>
      </w:pPr>
    </w:p>
    <w:p w:rsidR="00EB202B" w:rsidRPr="008436C7" w:rsidRDefault="00EB202B" w:rsidP="008436C7">
      <w:pPr>
        <w:pStyle w:val="ac"/>
        <w:ind w:firstLine="560"/>
        <w:jc w:val="right"/>
        <w:rPr>
          <w:sz w:val="28"/>
          <w:szCs w:val="28"/>
        </w:rPr>
      </w:pPr>
      <w:r w:rsidRPr="008436C7">
        <w:rPr>
          <w:rFonts w:hint="eastAsia"/>
          <w:sz w:val="28"/>
          <w:szCs w:val="28"/>
        </w:rPr>
        <w:t>同泰基金管理有限公司</w:t>
      </w:r>
    </w:p>
    <w:p w:rsidR="00EB202B" w:rsidRPr="008436C7" w:rsidRDefault="00EB202B" w:rsidP="008436C7">
      <w:pPr>
        <w:pStyle w:val="ac"/>
        <w:ind w:firstLine="560"/>
        <w:jc w:val="right"/>
        <w:rPr>
          <w:sz w:val="28"/>
          <w:szCs w:val="28"/>
        </w:rPr>
      </w:pPr>
      <w:r w:rsidRPr="008436C7">
        <w:rPr>
          <w:rFonts w:hint="eastAsia"/>
          <w:sz w:val="28"/>
          <w:szCs w:val="28"/>
        </w:rPr>
        <w:t>2023年2月24日</w:t>
      </w:r>
      <w:bookmarkStart w:id="1" w:name="_GoBack"/>
      <w:bookmarkEnd w:id="1"/>
    </w:p>
    <w:sectPr w:rsidR="00EB202B" w:rsidRPr="008436C7" w:rsidSect="00C30A00">
      <w:headerReference w:type="default" r:id="rId7"/>
      <w:footerReference w:type="default" r:id="rId8"/>
      <w:footerReference w:type="first" r:id="rId9"/>
      <w:pgSz w:w="11906" w:h="16838" w:code="9"/>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026" w:rsidRDefault="00165026" w:rsidP="00DC5DEF">
      <w:r>
        <w:separator/>
      </w:r>
    </w:p>
  </w:endnote>
  <w:endnote w:type="continuationSeparator" w:id="0">
    <w:p w:rsidR="00165026" w:rsidRDefault="00165026" w:rsidP="00DC5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18" w:rsidRDefault="00287318" w:rsidP="00287318">
    <w:pPr>
      <w:pStyle w:val="a4"/>
      <w:jc w:val="center"/>
    </w:pPr>
    <w:r w:rsidRPr="00287318">
      <w:rPr>
        <w:rFonts w:hint="eastAsia"/>
      </w:rPr>
      <w:t>第</w:t>
    </w:r>
    <w:r w:rsidR="00A30788">
      <w:fldChar w:fldCharType="begin"/>
    </w:r>
    <w:r>
      <w:instrText xml:space="preserve"> </w:instrText>
    </w:r>
    <w:r>
      <w:rPr>
        <w:rFonts w:hint="eastAsia"/>
      </w:rPr>
      <w:instrText>PAGE   \* MERGEFORMAT</w:instrText>
    </w:r>
    <w:r>
      <w:instrText xml:space="preserve"> </w:instrText>
    </w:r>
    <w:r w:rsidR="00A30788">
      <w:fldChar w:fldCharType="separate"/>
    </w:r>
    <w:r w:rsidR="00AF7412">
      <w:rPr>
        <w:noProof/>
      </w:rPr>
      <w:t>1</w:t>
    </w:r>
    <w:r w:rsidR="00A30788">
      <w:fldChar w:fldCharType="end"/>
    </w:r>
    <w:r w:rsidRPr="00287318">
      <w:rPr>
        <w:rFonts w:hint="eastAsia"/>
      </w:rPr>
      <w:t>页</w:t>
    </w:r>
    <w:r w:rsidRPr="00287318">
      <w:rPr>
        <w:rFonts w:hint="eastAsia"/>
      </w:rPr>
      <w:t xml:space="preserve"> </w:t>
    </w:r>
    <w:r w:rsidRPr="00287318">
      <w:rPr>
        <w:rFonts w:hint="eastAsia"/>
      </w:rPr>
      <w:t>共</w:t>
    </w:r>
    <w:fldSimple w:instr=" NUMPAGES   \* MERGEFORMAT ">
      <w:r w:rsidR="00AF7412">
        <w:rPr>
          <w:noProof/>
        </w:rPr>
        <w:t>1</w:t>
      </w:r>
    </w:fldSimple>
    <w:r w:rsidRPr="00287318">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18" w:rsidRDefault="00287318" w:rsidP="00287318">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026" w:rsidRDefault="00165026" w:rsidP="00DC5DEF">
      <w:r>
        <w:separator/>
      </w:r>
    </w:p>
  </w:footnote>
  <w:footnote w:type="continuationSeparator" w:id="0">
    <w:p w:rsidR="00165026" w:rsidRDefault="00165026" w:rsidP="00DC5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F12" w:rsidRDefault="00E9723B">
    <w:pPr>
      <w:pBdr>
        <w:between w:val="single" w:sz="3" w:space="0" w:color="000000"/>
      </w:pBdr>
      <w:jc w:val="right"/>
    </w:pPr>
    <w:r>
      <w:rPr>
        <w:rFonts w:hAnsi="宋体" w:hint="eastAsia"/>
        <w:bCs/>
        <w:color w:val="000000"/>
        <w:sz w:val="18"/>
        <w:szCs w:val="18"/>
      </w:rPr>
      <w:t>同泰泰裕三个月定期开放债券型证券投资基金开放申购、赎回业务公告</w:t>
    </w:r>
  </w:p>
  <w:p w:rsidR="00881F12" w:rsidRDefault="00881F12">
    <w:pPr>
      <w:pBdr>
        <w:between w:val="single" w:sz="3" w:space="0" w:color="000000"/>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FE0"/>
    <w:multiLevelType w:val="multilevel"/>
    <w:tmpl w:val="309C47A2"/>
    <w:lvl w:ilvl="0">
      <w:start w:val="1"/>
      <w:numFmt w:val="decimal"/>
      <w:lvlText w:val="%1"/>
      <w:lvlJc w:val="left"/>
      <w:pPr>
        <w:ind w:left="420" w:hanging="420"/>
      </w:pPr>
      <w:rPr>
        <w:rFonts w:hint="eastAsia"/>
      </w:rPr>
    </w:lvl>
    <w:lvl w:ilvl="1">
      <w:start w:val="1"/>
      <w:numFmt w:val="none"/>
      <w:lvlText w:val="1.1"/>
      <w:lvlJc w:val="left"/>
      <w:pPr>
        <w:ind w:left="840" w:hanging="420"/>
      </w:pPr>
      <w:rPr>
        <w:rFonts w:hint="eastAsia"/>
      </w:rPr>
    </w:lvl>
    <w:lvl w:ilvl="2">
      <w:start w:val="1"/>
      <w:numFmt w:val="none"/>
      <w:lvlText w:val="1.1.1"/>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249F1BDB"/>
    <w:multiLevelType w:val="hybridMultilevel"/>
    <w:tmpl w:val="A190816C"/>
    <w:lvl w:ilvl="0" w:tplc="ABEAAB6E">
      <w:start w:val="1"/>
      <w:numFmt w:val="decimal"/>
      <w:lvlText w:val="%1.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E133B2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451871B4"/>
    <w:multiLevelType w:val="multilevel"/>
    <w:tmpl w:val="30244D42"/>
    <w:lvl w:ilvl="0">
      <w:start w:val="1"/>
      <w:numFmt w:val="decimal"/>
      <w:lvlText w:val="%1.1.1"/>
      <w:lvlJc w:val="left"/>
      <w:pPr>
        <w:ind w:left="425" w:hanging="425"/>
      </w:pPr>
      <w:rPr>
        <w:rFonts w:hint="eastAsia"/>
        <w:b w:val="0"/>
        <w:i w:val="0"/>
        <w:iCs w:val="0"/>
        <w:caps w:val="0"/>
        <w:smallCaps w:val="0"/>
        <w:strike w:val="0"/>
        <w:dstrike w:val="0"/>
        <w:outline w:val="0"/>
        <w:shadow w:val="0"/>
        <w:emboss w:val="0"/>
        <w:imprint w:val="0"/>
        <w:vanish w:val="0"/>
        <w:spacing w:val="0"/>
        <w:position w:val="0"/>
        <w:u w:val="none"/>
        <w:effect w:val="none"/>
        <w:vertAlign w:val="baseline"/>
        <w:em w:val="none"/>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46C40D09"/>
    <w:multiLevelType w:val="hybridMultilevel"/>
    <w:tmpl w:val="7C680852"/>
    <w:lvl w:ilvl="0" w:tplc="8076CD8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191E0E"/>
    <w:multiLevelType w:val="hybridMultilevel"/>
    <w:tmpl w:val="1C7ACE30"/>
    <w:lvl w:ilvl="0" w:tplc="34061D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45727E7"/>
    <w:multiLevelType w:val="multilevel"/>
    <w:tmpl w:val="2B245DFA"/>
    <w:lvl w:ilvl="0">
      <w:start w:val="1"/>
      <w:numFmt w:val="decimal"/>
      <w:pStyle w:val="1"/>
      <w:lvlText w:val="%1."/>
      <w:lvlJc w:val="left"/>
      <w:pPr>
        <w:ind w:left="420" w:hanging="420"/>
      </w:pPr>
      <w:rPr>
        <w:rFonts w:hint="eastAsia"/>
      </w:rPr>
    </w:lvl>
    <w:lvl w:ilvl="1">
      <w:start w:val="1"/>
      <w:numFmt w:val="decimal"/>
      <w:pStyle w:val="2"/>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6B5D273E"/>
    <w:multiLevelType w:val="hybridMultilevel"/>
    <w:tmpl w:val="90300BA4"/>
    <w:lvl w:ilvl="0" w:tplc="6B204A32">
      <w:start w:val="1"/>
      <w:numFmt w:val="decimal"/>
      <w:lvlText w:val="%1.1.1"/>
      <w:lvlJc w:val="left"/>
      <w:pPr>
        <w:ind w:left="420" w:hanging="420"/>
      </w:pPr>
      <w:rPr>
        <w:rFonts w:hint="eastAsia"/>
        <w:b w:val="0"/>
        <w:i w:val="0"/>
        <w:iCs w:val="0"/>
        <w:caps w:val="0"/>
        <w:smallCaps w:val="0"/>
        <w:strike w:val="0"/>
        <w:dstrike w:val="0"/>
        <w:outline w:val="0"/>
        <w:shadow w:val="0"/>
        <w:emboss w:val="0"/>
        <w:imprint w:val="0"/>
        <w:vanish w:val="0"/>
        <w:spacing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C4B44B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7536714E"/>
    <w:multiLevelType w:val="multilevel"/>
    <w:tmpl w:val="41FCBEA4"/>
    <w:lvl w:ilvl="0">
      <w:start w:val="1"/>
      <w:numFmt w:val="decimal"/>
      <w:lvlText w:val="%1"/>
      <w:lvlJc w:val="left"/>
      <w:pPr>
        <w:ind w:left="420" w:hanging="420"/>
      </w:pPr>
      <w:rPr>
        <w:rFonts w:hint="eastAsia"/>
      </w:rPr>
    </w:lvl>
    <w:lvl w:ilvl="1">
      <w:start w:val="1"/>
      <w:numFmt w:val="none"/>
      <w:lvlText w:val="1.1"/>
      <w:lvlJc w:val="left"/>
      <w:pPr>
        <w:ind w:left="840" w:hanging="420"/>
      </w:pPr>
      <w:rPr>
        <w:rFonts w:hint="eastAsia"/>
      </w:rPr>
    </w:lvl>
    <w:lvl w:ilvl="2">
      <w:start w:val="1"/>
      <w:numFmt w:val="none"/>
      <w:lvlText w:val="1.1.1"/>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3"/>
  </w:num>
  <w:num w:numId="2">
    <w:abstractNumId w:val="4"/>
  </w:num>
  <w:num w:numId="3">
    <w:abstractNumId w:val="8"/>
  </w:num>
  <w:num w:numId="4">
    <w:abstractNumId w:val="2"/>
  </w:num>
  <w:num w:numId="5">
    <w:abstractNumId w:val="5"/>
  </w:num>
  <w:num w:numId="6">
    <w:abstractNumId w:val="9"/>
  </w:num>
  <w:num w:numId="7">
    <w:abstractNumId w:val="7"/>
  </w:num>
  <w:num w:numId="8">
    <w:abstractNumId w:val="1"/>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0422"/>
    <w:rsid w:val="00073183"/>
    <w:rsid w:val="00083F46"/>
    <w:rsid w:val="0008540E"/>
    <w:rsid w:val="000A0399"/>
    <w:rsid w:val="000B75F0"/>
    <w:rsid w:val="000E3BCE"/>
    <w:rsid w:val="00160CD2"/>
    <w:rsid w:val="00165026"/>
    <w:rsid w:val="001859BF"/>
    <w:rsid w:val="001F6166"/>
    <w:rsid w:val="00214A9B"/>
    <w:rsid w:val="00224D8D"/>
    <w:rsid w:val="0025141B"/>
    <w:rsid w:val="0025252A"/>
    <w:rsid w:val="00274A9C"/>
    <w:rsid w:val="002771FA"/>
    <w:rsid w:val="00281E4B"/>
    <w:rsid w:val="00283D98"/>
    <w:rsid w:val="00287318"/>
    <w:rsid w:val="00294A53"/>
    <w:rsid w:val="002B1051"/>
    <w:rsid w:val="002B567C"/>
    <w:rsid w:val="002C60F7"/>
    <w:rsid w:val="002D558F"/>
    <w:rsid w:val="002D6E35"/>
    <w:rsid w:val="002F2387"/>
    <w:rsid w:val="00301A96"/>
    <w:rsid w:val="003021B8"/>
    <w:rsid w:val="00341562"/>
    <w:rsid w:val="003457D4"/>
    <w:rsid w:val="0034764F"/>
    <w:rsid w:val="00364568"/>
    <w:rsid w:val="00390422"/>
    <w:rsid w:val="00413A70"/>
    <w:rsid w:val="00456626"/>
    <w:rsid w:val="00480A78"/>
    <w:rsid w:val="00492294"/>
    <w:rsid w:val="004929C4"/>
    <w:rsid w:val="004A4C69"/>
    <w:rsid w:val="004C17FD"/>
    <w:rsid w:val="004F47D3"/>
    <w:rsid w:val="00500F05"/>
    <w:rsid w:val="005648A6"/>
    <w:rsid w:val="00594852"/>
    <w:rsid w:val="00597422"/>
    <w:rsid w:val="005B21E3"/>
    <w:rsid w:val="005E245D"/>
    <w:rsid w:val="005E25B0"/>
    <w:rsid w:val="005F2AAC"/>
    <w:rsid w:val="006308DD"/>
    <w:rsid w:val="006475A4"/>
    <w:rsid w:val="00665BB1"/>
    <w:rsid w:val="00677942"/>
    <w:rsid w:val="006E61BC"/>
    <w:rsid w:val="00734497"/>
    <w:rsid w:val="007351B4"/>
    <w:rsid w:val="007474A0"/>
    <w:rsid w:val="00750DAD"/>
    <w:rsid w:val="00774DB3"/>
    <w:rsid w:val="00782F6F"/>
    <w:rsid w:val="007A4233"/>
    <w:rsid w:val="007B6A63"/>
    <w:rsid w:val="007F5046"/>
    <w:rsid w:val="008436C7"/>
    <w:rsid w:val="00857742"/>
    <w:rsid w:val="00865829"/>
    <w:rsid w:val="0087531C"/>
    <w:rsid w:val="00881F12"/>
    <w:rsid w:val="00897D28"/>
    <w:rsid w:val="00897FEA"/>
    <w:rsid w:val="008A431A"/>
    <w:rsid w:val="008A5705"/>
    <w:rsid w:val="009305B8"/>
    <w:rsid w:val="00960F32"/>
    <w:rsid w:val="009F1034"/>
    <w:rsid w:val="009F1F16"/>
    <w:rsid w:val="009F40B5"/>
    <w:rsid w:val="00A00A34"/>
    <w:rsid w:val="00A150DA"/>
    <w:rsid w:val="00A30788"/>
    <w:rsid w:val="00A55785"/>
    <w:rsid w:val="00A64A81"/>
    <w:rsid w:val="00A824C5"/>
    <w:rsid w:val="00A824D8"/>
    <w:rsid w:val="00A833A1"/>
    <w:rsid w:val="00AA45F7"/>
    <w:rsid w:val="00AB68F1"/>
    <w:rsid w:val="00AC5670"/>
    <w:rsid w:val="00AD1B6F"/>
    <w:rsid w:val="00AF7412"/>
    <w:rsid w:val="00B013A1"/>
    <w:rsid w:val="00B01FCE"/>
    <w:rsid w:val="00B168F5"/>
    <w:rsid w:val="00BB2B13"/>
    <w:rsid w:val="00BE750B"/>
    <w:rsid w:val="00BF6B0B"/>
    <w:rsid w:val="00C10F53"/>
    <w:rsid w:val="00C214C0"/>
    <w:rsid w:val="00C30A00"/>
    <w:rsid w:val="00C37EA7"/>
    <w:rsid w:val="00CD43D2"/>
    <w:rsid w:val="00D05695"/>
    <w:rsid w:val="00D05BA7"/>
    <w:rsid w:val="00D07A54"/>
    <w:rsid w:val="00D119D0"/>
    <w:rsid w:val="00D23155"/>
    <w:rsid w:val="00D23B56"/>
    <w:rsid w:val="00D24B1D"/>
    <w:rsid w:val="00D73075"/>
    <w:rsid w:val="00D7798F"/>
    <w:rsid w:val="00DA2749"/>
    <w:rsid w:val="00DA4227"/>
    <w:rsid w:val="00DB3566"/>
    <w:rsid w:val="00DC5DEF"/>
    <w:rsid w:val="00DD15AE"/>
    <w:rsid w:val="00DE0766"/>
    <w:rsid w:val="00DE3C31"/>
    <w:rsid w:val="00E17930"/>
    <w:rsid w:val="00E20E72"/>
    <w:rsid w:val="00E20EB2"/>
    <w:rsid w:val="00E328E8"/>
    <w:rsid w:val="00E63A04"/>
    <w:rsid w:val="00E66CCC"/>
    <w:rsid w:val="00E76C78"/>
    <w:rsid w:val="00E77708"/>
    <w:rsid w:val="00E9723B"/>
    <w:rsid w:val="00EB202B"/>
    <w:rsid w:val="00EC0EA0"/>
    <w:rsid w:val="00EE583D"/>
    <w:rsid w:val="00F20899"/>
    <w:rsid w:val="00F8218D"/>
    <w:rsid w:val="00F862CA"/>
    <w:rsid w:val="00FC7E31"/>
    <w:rsid w:val="00FD5445"/>
    <w:rsid w:val="00FF26C4"/>
    <w:rsid w:val="00FF7AD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正文左"/>
    <w:qFormat/>
    <w:rsid w:val="0034764F"/>
    <w:pPr>
      <w:widowControl w:val="0"/>
    </w:pPr>
    <w:rPr>
      <w:rFonts w:ascii="宋体" w:eastAsia="宋体"/>
    </w:rPr>
  </w:style>
  <w:style w:type="paragraph" w:styleId="1">
    <w:name w:val="heading 1"/>
    <w:basedOn w:val="a"/>
    <w:next w:val="a"/>
    <w:link w:val="1Char"/>
    <w:autoRedefine/>
    <w:uiPriority w:val="9"/>
    <w:qFormat/>
    <w:rsid w:val="00301A96"/>
    <w:pPr>
      <w:keepNext/>
      <w:keepLines/>
      <w:numPr>
        <w:numId w:val="10"/>
      </w:numPr>
      <w:spacing w:beforeLines="50" w:afterLines="50"/>
      <w:outlineLvl w:val="0"/>
    </w:pPr>
    <w:rPr>
      <w:b/>
      <w:bCs/>
      <w:kern w:val="44"/>
      <w:sz w:val="28"/>
      <w:szCs w:val="44"/>
    </w:rPr>
  </w:style>
  <w:style w:type="paragraph" w:styleId="2">
    <w:name w:val="heading 2"/>
    <w:basedOn w:val="a"/>
    <w:next w:val="a"/>
    <w:link w:val="2Char"/>
    <w:autoRedefine/>
    <w:uiPriority w:val="9"/>
    <w:unhideWhenUsed/>
    <w:qFormat/>
    <w:rsid w:val="005E245D"/>
    <w:pPr>
      <w:keepNext/>
      <w:keepLines/>
      <w:numPr>
        <w:ilvl w:val="1"/>
        <w:numId w:val="10"/>
      </w:numPr>
      <w:spacing w:beforeLines="50" w:afterLines="50"/>
      <w:ind w:left="0" w:firstLine="0"/>
      <w:outlineLvl w:val="1"/>
    </w:pPr>
    <w:rPr>
      <w:rFonts w:hAnsiTheme="majorHAnsi" w:cstheme="majorBidi"/>
      <w:b/>
      <w:bCs/>
      <w:sz w:val="24"/>
      <w:szCs w:val="32"/>
    </w:rPr>
  </w:style>
  <w:style w:type="paragraph" w:styleId="3">
    <w:name w:val="heading 3"/>
    <w:basedOn w:val="a"/>
    <w:next w:val="a"/>
    <w:link w:val="3Char"/>
    <w:uiPriority w:val="9"/>
    <w:unhideWhenUsed/>
    <w:qFormat/>
    <w:rsid w:val="0034764F"/>
    <w:pPr>
      <w:keepNext/>
      <w:keepLines/>
      <w:numPr>
        <w:ilvl w:val="2"/>
        <w:numId w:val="10"/>
      </w:numPr>
      <w:spacing w:beforeLines="50" w:afterLines="50"/>
      <w:ind w:left="0" w:firstLine="0"/>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5DEF"/>
    <w:pPr>
      <w:pBdr>
        <w:bottom w:val="single" w:sz="6" w:space="1" w:color="auto"/>
      </w:pBdr>
      <w:tabs>
        <w:tab w:val="center" w:pos="4153"/>
        <w:tab w:val="right" w:pos="8306"/>
      </w:tabs>
      <w:snapToGrid w:val="0"/>
      <w:jc w:val="center"/>
    </w:pPr>
    <w:rPr>
      <w:rFonts w:asciiTheme="minorHAnsi"/>
      <w:szCs w:val="18"/>
    </w:rPr>
  </w:style>
  <w:style w:type="character" w:customStyle="1" w:styleId="Char">
    <w:name w:val="页眉 Char"/>
    <w:basedOn w:val="a0"/>
    <w:link w:val="a3"/>
    <w:uiPriority w:val="99"/>
    <w:rsid w:val="00DC5DEF"/>
    <w:rPr>
      <w:sz w:val="18"/>
      <w:szCs w:val="18"/>
    </w:rPr>
  </w:style>
  <w:style w:type="paragraph" w:styleId="a4">
    <w:name w:val="footer"/>
    <w:basedOn w:val="a"/>
    <w:link w:val="Char0"/>
    <w:uiPriority w:val="99"/>
    <w:unhideWhenUsed/>
    <w:rsid w:val="00DC5DEF"/>
    <w:pPr>
      <w:tabs>
        <w:tab w:val="center" w:pos="4153"/>
        <w:tab w:val="right" w:pos="8306"/>
      </w:tabs>
      <w:snapToGrid w:val="0"/>
    </w:pPr>
    <w:rPr>
      <w:rFonts w:asciiTheme="minorHAnsi"/>
      <w:szCs w:val="18"/>
    </w:rPr>
  </w:style>
  <w:style w:type="character" w:customStyle="1" w:styleId="Char0">
    <w:name w:val="页脚 Char"/>
    <w:basedOn w:val="a0"/>
    <w:link w:val="a4"/>
    <w:uiPriority w:val="99"/>
    <w:rsid w:val="00DC5DEF"/>
    <w:rPr>
      <w:sz w:val="18"/>
      <w:szCs w:val="18"/>
    </w:rPr>
  </w:style>
  <w:style w:type="paragraph" w:styleId="a5">
    <w:name w:val="List Paragraph"/>
    <w:basedOn w:val="a"/>
    <w:uiPriority w:val="34"/>
    <w:rsid w:val="00DC5DEF"/>
    <w:pPr>
      <w:ind w:firstLineChars="200" w:firstLine="420"/>
    </w:pPr>
  </w:style>
  <w:style w:type="character" w:customStyle="1" w:styleId="1Char">
    <w:name w:val="标题 1 Char"/>
    <w:basedOn w:val="a0"/>
    <w:link w:val="1"/>
    <w:uiPriority w:val="9"/>
    <w:rsid w:val="0034764F"/>
    <w:rPr>
      <w:rFonts w:ascii="宋体" w:eastAsia="宋体"/>
      <w:b/>
      <w:bCs/>
      <w:kern w:val="44"/>
      <w:sz w:val="28"/>
      <w:szCs w:val="44"/>
    </w:rPr>
  </w:style>
  <w:style w:type="character" w:customStyle="1" w:styleId="2Char">
    <w:name w:val="标题 2 Char"/>
    <w:basedOn w:val="a0"/>
    <w:link w:val="2"/>
    <w:uiPriority w:val="9"/>
    <w:rsid w:val="005E245D"/>
    <w:rPr>
      <w:rFonts w:ascii="宋体" w:eastAsia="宋体" w:hAnsiTheme="majorHAnsi" w:cstheme="majorBidi"/>
      <w:b/>
      <w:bCs/>
      <w:sz w:val="24"/>
      <w:szCs w:val="32"/>
    </w:rPr>
  </w:style>
  <w:style w:type="character" w:customStyle="1" w:styleId="3Char">
    <w:name w:val="标题 3 Char"/>
    <w:basedOn w:val="a0"/>
    <w:link w:val="3"/>
    <w:uiPriority w:val="9"/>
    <w:rsid w:val="0034764F"/>
    <w:rPr>
      <w:rFonts w:ascii="宋体" w:eastAsia="宋体"/>
      <w:b/>
      <w:bCs/>
      <w:sz w:val="24"/>
      <w:szCs w:val="32"/>
    </w:rPr>
  </w:style>
  <w:style w:type="paragraph" w:styleId="a6">
    <w:name w:val="No Spacing"/>
    <w:uiPriority w:val="1"/>
    <w:rsid w:val="00FF26C4"/>
    <w:pPr>
      <w:widowControl w:val="0"/>
      <w:jc w:val="both"/>
    </w:pPr>
    <w:rPr>
      <w:rFonts w:ascii="Times New Roman" w:hAnsi="Times New Roman" w:cs="Times New Roman"/>
      <w:sz w:val="18"/>
      <w:szCs w:val="20"/>
    </w:rPr>
  </w:style>
  <w:style w:type="character" w:styleId="a7">
    <w:name w:val="footnote reference"/>
    <w:rsid w:val="00857742"/>
    <w:rPr>
      <w:vertAlign w:val="superscript"/>
    </w:rPr>
  </w:style>
  <w:style w:type="paragraph" w:styleId="a8">
    <w:name w:val="footnote text"/>
    <w:basedOn w:val="a"/>
    <w:link w:val="Char1"/>
    <w:rsid w:val="00857742"/>
    <w:pPr>
      <w:snapToGrid w:val="0"/>
    </w:pPr>
  </w:style>
  <w:style w:type="character" w:customStyle="1" w:styleId="Char1">
    <w:name w:val="脚注文本 Char"/>
    <w:basedOn w:val="a0"/>
    <w:link w:val="a8"/>
    <w:rsid w:val="00857742"/>
    <w:rPr>
      <w:rFonts w:ascii="Times New Roman" w:eastAsia="宋体" w:hAnsi="Times New Roman" w:cs="Times New Roman"/>
      <w:sz w:val="18"/>
      <w:szCs w:val="20"/>
    </w:rPr>
  </w:style>
  <w:style w:type="paragraph" w:styleId="TOC">
    <w:name w:val="TOC Heading"/>
    <w:basedOn w:val="1"/>
    <w:next w:val="a"/>
    <w:uiPriority w:val="39"/>
    <w:unhideWhenUsed/>
    <w:rsid w:val="00500F05"/>
    <w:pPr>
      <w:widowControl/>
      <w:numPr>
        <w:numId w:val="0"/>
      </w:numPr>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500F05"/>
  </w:style>
  <w:style w:type="paragraph" w:styleId="20">
    <w:name w:val="toc 2"/>
    <w:basedOn w:val="a"/>
    <w:next w:val="a"/>
    <w:autoRedefine/>
    <w:uiPriority w:val="39"/>
    <w:unhideWhenUsed/>
    <w:rsid w:val="00500F05"/>
    <w:pPr>
      <w:ind w:leftChars="200" w:left="420"/>
    </w:pPr>
  </w:style>
  <w:style w:type="paragraph" w:styleId="30">
    <w:name w:val="toc 3"/>
    <w:basedOn w:val="a"/>
    <w:next w:val="a"/>
    <w:autoRedefine/>
    <w:uiPriority w:val="39"/>
    <w:unhideWhenUsed/>
    <w:rsid w:val="00500F05"/>
    <w:pPr>
      <w:ind w:leftChars="400" w:left="840"/>
    </w:pPr>
  </w:style>
  <w:style w:type="character" w:styleId="a9">
    <w:name w:val="Hyperlink"/>
    <w:basedOn w:val="a0"/>
    <w:uiPriority w:val="99"/>
    <w:unhideWhenUsed/>
    <w:rsid w:val="00500F05"/>
    <w:rPr>
      <w:color w:val="0563C1" w:themeColor="hyperlink"/>
      <w:u w:val="single"/>
    </w:rPr>
  </w:style>
  <w:style w:type="paragraph" w:customStyle="1" w:styleId="11">
    <w:name w:val="主标题1"/>
    <w:basedOn w:val="a"/>
    <w:next w:val="a"/>
    <w:link w:val="1Char0"/>
    <w:rsid w:val="00C10F53"/>
    <w:pPr>
      <w:adjustRightInd w:val="0"/>
      <w:snapToGrid w:val="0"/>
      <w:jc w:val="center"/>
    </w:pPr>
    <w:rPr>
      <w:rFonts w:hAnsi="宋体" w:cs="宋体"/>
      <w:bCs/>
      <w:sz w:val="44"/>
      <w:szCs w:val="24"/>
    </w:rPr>
  </w:style>
  <w:style w:type="character" w:customStyle="1" w:styleId="1Char0">
    <w:name w:val="主标题1 Char"/>
    <w:basedOn w:val="a0"/>
    <w:link w:val="11"/>
    <w:rsid w:val="00C10F53"/>
    <w:rPr>
      <w:rFonts w:ascii="宋体" w:eastAsia="宋体" w:hAnsi="宋体" w:cs="宋体"/>
      <w:bCs/>
      <w:sz w:val="44"/>
      <w:szCs w:val="24"/>
    </w:rPr>
  </w:style>
  <w:style w:type="paragraph" w:customStyle="1" w:styleId="12">
    <w:name w:val="副标题1"/>
    <w:basedOn w:val="a"/>
    <w:next w:val="a"/>
    <w:link w:val="1Char1"/>
    <w:rsid w:val="00C10F53"/>
    <w:pPr>
      <w:adjustRightInd w:val="0"/>
      <w:snapToGrid w:val="0"/>
      <w:spacing w:line="400" w:lineRule="exact"/>
      <w:jc w:val="center"/>
    </w:pPr>
    <w:rPr>
      <w:rFonts w:hAnsi="宋体" w:cs="宋体"/>
      <w:bCs/>
      <w:sz w:val="32"/>
      <w:szCs w:val="24"/>
    </w:rPr>
  </w:style>
  <w:style w:type="character" w:customStyle="1" w:styleId="1Char1">
    <w:name w:val="副标题1 Char"/>
    <w:basedOn w:val="a0"/>
    <w:link w:val="12"/>
    <w:rsid w:val="00C10F53"/>
    <w:rPr>
      <w:rFonts w:ascii="宋体" w:eastAsia="宋体" w:hAnsi="宋体" w:cs="宋体"/>
      <w:bCs/>
      <w:sz w:val="32"/>
      <w:szCs w:val="24"/>
    </w:rPr>
  </w:style>
  <w:style w:type="paragraph" w:customStyle="1" w:styleId="aa">
    <w:name w:val="正文中"/>
    <w:qFormat/>
    <w:rsid w:val="0034764F"/>
    <w:pPr>
      <w:jc w:val="center"/>
    </w:pPr>
    <w:rPr>
      <w:rFonts w:ascii="宋体" w:eastAsia="宋体" w:hAnsi="Times New Roman" w:cs="Times New Roman"/>
      <w:szCs w:val="20"/>
    </w:rPr>
  </w:style>
  <w:style w:type="paragraph" w:customStyle="1" w:styleId="ab">
    <w:name w:val="正文右"/>
    <w:qFormat/>
    <w:rsid w:val="0034764F"/>
    <w:rPr>
      <w:rFonts w:ascii="宋体" w:eastAsia="宋体" w:hAnsi="Times New Roman" w:cs="Times New Roman"/>
      <w:szCs w:val="20"/>
    </w:rPr>
  </w:style>
  <w:style w:type="paragraph" w:styleId="ac">
    <w:name w:val="Normal Indent"/>
    <w:qFormat/>
    <w:rsid w:val="0034764F"/>
    <w:pPr>
      <w:spacing w:line="360" w:lineRule="auto"/>
      <w:ind w:firstLineChars="200" w:firstLine="200"/>
    </w:pPr>
    <w:rPr>
      <w:rFonts w:ascii="宋体" w:eastAsia="宋体"/>
    </w:rPr>
  </w:style>
  <w:style w:type="paragraph" w:styleId="ad">
    <w:name w:val="Balloon Text"/>
    <w:basedOn w:val="a"/>
    <w:link w:val="Char2"/>
    <w:uiPriority w:val="99"/>
    <w:semiHidden/>
    <w:unhideWhenUsed/>
    <w:rsid w:val="00AD1B6F"/>
    <w:rPr>
      <w:sz w:val="18"/>
      <w:szCs w:val="18"/>
    </w:rPr>
  </w:style>
  <w:style w:type="character" w:customStyle="1" w:styleId="Char2">
    <w:name w:val="批注框文本 Char"/>
    <w:basedOn w:val="a0"/>
    <w:link w:val="ad"/>
    <w:uiPriority w:val="99"/>
    <w:semiHidden/>
    <w:rsid w:val="00AD1B6F"/>
    <w:rPr>
      <w:rFonts w:ascii="宋体" w:eastAsia="宋体"/>
      <w:sz w:val="18"/>
      <w:szCs w:val="18"/>
    </w:rPr>
  </w:style>
  <w:style w:type="table" w:styleId="ae">
    <w:name w:val="Table Grid"/>
    <w:basedOn w:val="a1"/>
    <w:uiPriority w:val="39"/>
    <w:rsid w:val="00B01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2930</Characters>
  <Application>Microsoft Office Word</Application>
  <DocSecurity>4</DocSecurity>
  <Lines>24</Lines>
  <Paragraphs>6</Paragraphs>
  <ScaleCrop>false</ScaleCrop>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dc:creator>
  <cp:keywords/>
  <dc:description/>
  <cp:lastModifiedBy>ZHONGM</cp:lastModifiedBy>
  <cp:revision>2</cp:revision>
  <dcterms:created xsi:type="dcterms:W3CDTF">2023-02-23T16:00:00Z</dcterms:created>
  <dcterms:modified xsi:type="dcterms:W3CDTF">2023-02-23T16:00:00Z</dcterms:modified>
</cp:coreProperties>
</file>