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中银基金管理有限公司关于新增</w:t>
      </w:r>
      <w:r w:rsidR="00FC0A8B" w:rsidRPr="00FC0A8B">
        <w:rPr>
          <w:rFonts w:asciiTheme="minorEastAsia" w:eastAsiaTheme="minorEastAsia" w:hAnsiTheme="minorEastAsia" w:cs="宋体" w:hint="eastAsia"/>
          <w:b/>
          <w:color w:val="000000"/>
        </w:rPr>
        <w:t>京东肯特瑞基金销售有限公司</w:t>
      </w:r>
    </w:p>
    <w:p w:rsidR="00B81B36" w:rsidRDefault="00173276">
      <w:pPr>
        <w:pStyle w:val="CM5"/>
        <w:spacing w:line="360" w:lineRule="auto"/>
        <w:jc w:val="center"/>
        <w:rPr>
          <w:rFonts w:asciiTheme="minorEastAsia" w:eastAsiaTheme="minorEastAsia" w:hAnsiTheme="minorEastAsia" w:cs="宋体"/>
          <w:b/>
          <w:color w:val="000000"/>
        </w:rPr>
      </w:pPr>
      <w:r>
        <w:rPr>
          <w:rFonts w:asciiTheme="minorEastAsia" w:eastAsiaTheme="minorEastAsia" w:hAnsiTheme="minorEastAsia" w:cs="宋体" w:hint="eastAsia"/>
          <w:b/>
          <w:color w:val="000000"/>
        </w:rPr>
        <w:t>为旗下部分基金销售机构的公告</w:t>
      </w:r>
    </w:p>
    <w:p w:rsidR="00B81B36" w:rsidRDefault="00B81B36">
      <w:pPr>
        <w:pStyle w:val="CM5"/>
        <w:spacing w:line="360" w:lineRule="auto"/>
        <w:ind w:firstLineChars="200" w:firstLine="482"/>
        <w:jc w:val="center"/>
        <w:rPr>
          <w:rFonts w:asciiTheme="minorEastAsia" w:eastAsiaTheme="minorEastAsia" w:hAnsiTheme="minorEastAsia" w:cs="宋体"/>
          <w:b/>
          <w:color w:val="000000"/>
        </w:rPr>
      </w:pPr>
    </w:p>
    <w:p w:rsidR="00B81B36" w:rsidRDefault="00173276" w:rsidP="001A32E5">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 </w:t>
      </w:r>
      <w:r w:rsidR="00726249" w:rsidRPr="00726249">
        <w:rPr>
          <w:rFonts w:asciiTheme="minorEastAsia" w:eastAsiaTheme="minorEastAsia" w:hAnsiTheme="minorEastAsia" w:cs="宋体" w:hint="eastAsia"/>
          <w:sz w:val="21"/>
          <w:szCs w:val="21"/>
        </w:rPr>
        <w:t>根据中银基金管理有限公司（以下简称“本公司”）与</w:t>
      </w:r>
      <w:r w:rsidR="00FC0A8B" w:rsidRPr="00FC0A8B">
        <w:rPr>
          <w:rFonts w:asciiTheme="minorEastAsia" w:eastAsiaTheme="minorEastAsia" w:hAnsiTheme="minorEastAsia" w:cs="宋体" w:hint="eastAsia"/>
          <w:sz w:val="21"/>
          <w:szCs w:val="21"/>
        </w:rPr>
        <w:t>京东肯特瑞基金销售有限公司</w:t>
      </w:r>
      <w:r w:rsidR="00726249" w:rsidRPr="00726249">
        <w:rPr>
          <w:rFonts w:asciiTheme="minorEastAsia" w:eastAsiaTheme="minorEastAsia" w:hAnsiTheme="minorEastAsia" w:cs="宋体" w:hint="eastAsia"/>
          <w:sz w:val="21"/>
          <w:szCs w:val="21"/>
        </w:rPr>
        <w:t>（以下简称“</w:t>
      </w:r>
      <w:r w:rsidR="00FC0A8B" w:rsidRPr="00FC0A8B">
        <w:rPr>
          <w:rFonts w:asciiTheme="minorEastAsia" w:eastAsiaTheme="minorEastAsia" w:hAnsiTheme="minorEastAsia" w:cs="宋体" w:hint="eastAsia"/>
          <w:sz w:val="21"/>
          <w:szCs w:val="21"/>
        </w:rPr>
        <w:t>京东肯特瑞</w:t>
      </w:r>
      <w:r w:rsidR="00726249" w:rsidRPr="00726249">
        <w:rPr>
          <w:rFonts w:asciiTheme="minorEastAsia" w:eastAsiaTheme="minorEastAsia" w:hAnsiTheme="minorEastAsia" w:cs="宋体" w:hint="eastAsia"/>
          <w:sz w:val="21"/>
          <w:szCs w:val="21"/>
        </w:rPr>
        <w:t>”）签署的基金销售协议及相关补充协议</w:t>
      </w:r>
      <w:r w:rsidR="00726249">
        <w:rPr>
          <w:rFonts w:asciiTheme="minorEastAsia" w:eastAsiaTheme="minorEastAsia" w:hAnsiTheme="minorEastAsia" w:cs="宋体" w:hint="eastAsia"/>
          <w:sz w:val="21"/>
          <w:szCs w:val="21"/>
        </w:rPr>
        <w:t>，</w:t>
      </w:r>
      <w:r w:rsidR="00A111C9" w:rsidRPr="00A111C9">
        <w:rPr>
          <w:rFonts w:asciiTheme="minorEastAsia" w:eastAsiaTheme="minorEastAsia" w:hAnsiTheme="minorEastAsia" w:cs="宋体" w:hint="eastAsia"/>
          <w:sz w:val="21"/>
          <w:szCs w:val="21"/>
        </w:rPr>
        <w:t>京东肯特瑞</w:t>
      </w:r>
      <w:r w:rsidR="00726249" w:rsidRPr="00726249">
        <w:rPr>
          <w:rFonts w:asciiTheme="minorEastAsia" w:eastAsiaTheme="minorEastAsia" w:hAnsiTheme="minorEastAsia" w:cs="宋体" w:hint="eastAsia"/>
          <w:sz w:val="21"/>
          <w:szCs w:val="21"/>
        </w:rPr>
        <w:t>将于2023年</w:t>
      </w:r>
      <w:r w:rsidR="00FC0A8B">
        <w:rPr>
          <w:rFonts w:asciiTheme="minorEastAsia" w:eastAsiaTheme="minorEastAsia" w:hAnsiTheme="minorEastAsia" w:cs="宋体"/>
          <w:sz w:val="21"/>
          <w:szCs w:val="21"/>
        </w:rPr>
        <w:t>2</w:t>
      </w:r>
      <w:r w:rsidR="00726249" w:rsidRPr="00726249">
        <w:rPr>
          <w:rFonts w:asciiTheme="minorEastAsia" w:eastAsiaTheme="minorEastAsia" w:hAnsiTheme="minorEastAsia" w:cs="宋体" w:hint="eastAsia"/>
          <w:sz w:val="21"/>
          <w:szCs w:val="21"/>
        </w:rPr>
        <w:t>月</w:t>
      </w:r>
      <w:r w:rsidR="00FC0A8B">
        <w:rPr>
          <w:rFonts w:asciiTheme="minorEastAsia" w:eastAsiaTheme="minorEastAsia" w:hAnsiTheme="minorEastAsia" w:cs="宋体"/>
          <w:sz w:val="21"/>
          <w:szCs w:val="21"/>
        </w:rPr>
        <w:t>20</w:t>
      </w:r>
      <w:r w:rsidR="00726249" w:rsidRPr="00726249">
        <w:rPr>
          <w:rFonts w:asciiTheme="minorEastAsia" w:eastAsiaTheme="minorEastAsia" w:hAnsiTheme="minorEastAsia" w:cs="宋体" w:hint="eastAsia"/>
          <w:sz w:val="21"/>
          <w:szCs w:val="21"/>
        </w:rPr>
        <w:t>日起开始销售本公司部分基金，具体业务规则、费率优惠活动内容及办理程序等相关规则以</w:t>
      </w:r>
      <w:r w:rsidR="00FC0A8B" w:rsidRPr="00FC0A8B">
        <w:rPr>
          <w:rFonts w:asciiTheme="minorEastAsia" w:eastAsiaTheme="minorEastAsia" w:hAnsiTheme="minorEastAsia" w:cs="宋体" w:hint="eastAsia"/>
          <w:sz w:val="21"/>
          <w:szCs w:val="21"/>
        </w:rPr>
        <w:t>京东肯特瑞</w:t>
      </w:r>
      <w:r w:rsidR="00726249" w:rsidRPr="00726249">
        <w:rPr>
          <w:rFonts w:asciiTheme="minorEastAsia" w:eastAsiaTheme="minorEastAsia" w:hAnsiTheme="minorEastAsia" w:cs="宋体" w:hint="eastAsia"/>
          <w:sz w:val="21"/>
          <w:szCs w:val="21"/>
        </w:rPr>
        <w:t>的规定为准，</w:t>
      </w:r>
      <w:bookmarkStart w:id="0" w:name="_GoBack"/>
      <w:bookmarkEnd w:id="0"/>
      <w:r w:rsidR="00726249" w:rsidRPr="00726249">
        <w:rPr>
          <w:rFonts w:asciiTheme="minorEastAsia" w:eastAsiaTheme="minorEastAsia" w:hAnsiTheme="minorEastAsia" w:cs="宋体" w:hint="eastAsia"/>
          <w:sz w:val="21"/>
          <w:szCs w:val="21"/>
        </w:rPr>
        <w:t>现将有关事项公告如下：</w:t>
      </w:r>
    </w:p>
    <w:p w:rsidR="00BB3FC5" w:rsidRPr="00FC0A8B" w:rsidRDefault="00BB3FC5" w:rsidP="00FC0A8B"/>
    <w:p w:rsidR="00B81B36" w:rsidRDefault="00173276">
      <w:pPr>
        <w:pStyle w:val="CM6"/>
        <w:numPr>
          <w:ilvl w:val="0"/>
          <w:numId w:val="1"/>
        </w:numPr>
        <w:tabs>
          <w:tab w:val="left" w:pos="851"/>
        </w:tabs>
        <w:spacing w:line="360" w:lineRule="auto"/>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适用基金</w:t>
      </w:r>
    </w:p>
    <w:tbl>
      <w:tblPr>
        <w:tblW w:w="7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6379"/>
      </w:tblGrid>
      <w:tr w:rsidR="00FE2DB9" w:rsidRPr="00FE2DB9" w:rsidTr="00FC0A8B">
        <w:trPr>
          <w:trHeight w:val="280"/>
          <w:jc w:val="center"/>
        </w:trPr>
        <w:tc>
          <w:tcPr>
            <w:tcW w:w="1524" w:type="dxa"/>
            <w:shd w:val="clear" w:color="000000" w:fill="FFFFFF"/>
            <w:noWrap/>
            <w:vAlign w:val="center"/>
            <w:hideMark/>
          </w:tcPr>
          <w:p w:rsidR="00FE2DB9" w:rsidRPr="00FE2DB9" w:rsidRDefault="00FE2DB9" w:rsidP="00FE2DB9">
            <w:pPr>
              <w:widowControl/>
              <w:jc w:val="center"/>
              <w:rPr>
                <w:rFonts w:ascii="宋体" w:eastAsia="宋体" w:hAnsi="宋体" w:cs="宋体"/>
                <w:kern w:val="0"/>
                <w:sz w:val="20"/>
                <w:szCs w:val="20"/>
              </w:rPr>
            </w:pPr>
            <w:r w:rsidRPr="00FE2DB9">
              <w:rPr>
                <w:rFonts w:ascii="宋体" w:eastAsia="宋体" w:hAnsi="宋体" w:cs="宋体" w:hint="eastAsia"/>
                <w:kern w:val="0"/>
                <w:sz w:val="20"/>
                <w:szCs w:val="20"/>
              </w:rPr>
              <w:t>基金代码</w:t>
            </w:r>
          </w:p>
        </w:tc>
        <w:tc>
          <w:tcPr>
            <w:tcW w:w="6379" w:type="dxa"/>
            <w:shd w:val="clear" w:color="000000" w:fill="FFFFFF"/>
            <w:noWrap/>
            <w:vAlign w:val="center"/>
            <w:hideMark/>
          </w:tcPr>
          <w:p w:rsidR="00FE2DB9" w:rsidRPr="00FE2DB9" w:rsidRDefault="00FE2DB9" w:rsidP="00FE2DB9">
            <w:pPr>
              <w:widowControl/>
              <w:jc w:val="center"/>
              <w:rPr>
                <w:rFonts w:ascii="宋体" w:eastAsia="宋体" w:hAnsi="宋体" w:cs="宋体"/>
                <w:kern w:val="0"/>
                <w:sz w:val="20"/>
                <w:szCs w:val="20"/>
              </w:rPr>
            </w:pPr>
            <w:r w:rsidRPr="00FE2DB9">
              <w:rPr>
                <w:rFonts w:ascii="宋体" w:eastAsia="宋体" w:hAnsi="宋体" w:cs="宋体" w:hint="eastAsia"/>
                <w:kern w:val="0"/>
                <w:sz w:val="20"/>
                <w:szCs w:val="20"/>
              </w:rPr>
              <w:t>基金全称</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007566</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中银宁享债券型证券投资基金</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007708</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中银瑞福浮动净值型发起式货币市场基金A类</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007709</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中银瑞福浮动净值型发起式货币市场基金C类</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009255</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中银添盛39个月定期开放债券型证券投资基金</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009924</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中银中债1-5年期国开行债券指数证券投资基金</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010083</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中银欣享利率债债券型证券投资基金</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012134</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中银嘉享3个月定期开放债券型证券投资基金A类</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013653</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中银上海清算所0-5年农发行债券指数证券投资基金</w:t>
            </w:r>
          </w:p>
        </w:tc>
      </w:tr>
      <w:tr w:rsidR="00FC0A8B" w:rsidRPr="00FE2DB9" w:rsidTr="00FC0A8B">
        <w:trPr>
          <w:trHeight w:val="280"/>
          <w:jc w:val="center"/>
        </w:trPr>
        <w:tc>
          <w:tcPr>
            <w:tcW w:w="1524" w:type="dxa"/>
            <w:shd w:val="clear" w:color="auto" w:fill="auto"/>
            <w:noWrap/>
            <w:vAlign w:val="center"/>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014226</w:t>
            </w:r>
          </w:p>
        </w:tc>
        <w:tc>
          <w:tcPr>
            <w:tcW w:w="6379" w:type="dxa"/>
            <w:shd w:val="clear" w:color="auto" w:fill="auto"/>
            <w:noWrap/>
            <w:vAlign w:val="bottom"/>
          </w:tcPr>
          <w:p w:rsidR="00FC0A8B" w:rsidRPr="00FC0A8B" w:rsidRDefault="00FC0A8B" w:rsidP="00FC0A8B">
            <w:pPr>
              <w:widowControl/>
              <w:jc w:val="center"/>
              <w:rPr>
                <w:rFonts w:ascii="宋体" w:eastAsia="宋体" w:hAnsi="宋体" w:cs="宋体"/>
                <w:kern w:val="0"/>
                <w:sz w:val="20"/>
                <w:szCs w:val="20"/>
              </w:rPr>
            </w:pPr>
            <w:r w:rsidRPr="00FF4E43">
              <w:rPr>
                <w:rFonts w:ascii="宋体" w:eastAsia="宋体" w:hAnsi="宋体" w:cs="宋体" w:hint="eastAsia"/>
                <w:kern w:val="0"/>
                <w:sz w:val="20"/>
                <w:szCs w:val="20"/>
              </w:rPr>
              <w:t>中银中证800指数型发起式证券投资基金A类</w:t>
            </w:r>
          </w:p>
        </w:tc>
      </w:tr>
      <w:tr w:rsidR="00FC0A8B" w:rsidRPr="00FE2DB9" w:rsidTr="005A61E8">
        <w:trPr>
          <w:trHeight w:val="280"/>
          <w:jc w:val="center"/>
        </w:trPr>
        <w:tc>
          <w:tcPr>
            <w:tcW w:w="1524" w:type="dxa"/>
            <w:shd w:val="clear" w:color="auto" w:fill="auto"/>
            <w:noWrap/>
            <w:vAlign w:val="center"/>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kern w:val="0"/>
                <w:sz w:val="20"/>
                <w:szCs w:val="20"/>
              </w:rPr>
              <w:t>014227</w:t>
            </w:r>
          </w:p>
        </w:tc>
        <w:tc>
          <w:tcPr>
            <w:tcW w:w="6379" w:type="dxa"/>
            <w:shd w:val="clear" w:color="auto" w:fill="auto"/>
            <w:noWrap/>
            <w:vAlign w:val="bottom"/>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hint="eastAsia"/>
                <w:kern w:val="0"/>
                <w:sz w:val="20"/>
                <w:szCs w:val="20"/>
              </w:rPr>
              <w:t>中银中证</w:t>
            </w:r>
            <w:r w:rsidRPr="005A61E8">
              <w:rPr>
                <w:rFonts w:ascii="宋体" w:eastAsia="宋体" w:hAnsi="宋体" w:cs="宋体"/>
                <w:kern w:val="0"/>
                <w:sz w:val="20"/>
                <w:szCs w:val="20"/>
              </w:rPr>
              <w:t>800指数型发起式证券投资基金C类</w:t>
            </w:r>
          </w:p>
        </w:tc>
      </w:tr>
      <w:tr w:rsidR="00FC0A8B" w:rsidRPr="00FE2DB9" w:rsidTr="005A61E8">
        <w:trPr>
          <w:trHeight w:val="280"/>
          <w:jc w:val="center"/>
        </w:trPr>
        <w:tc>
          <w:tcPr>
            <w:tcW w:w="1524" w:type="dxa"/>
            <w:shd w:val="clear" w:color="auto" w:fill="auto"/>
            <w:noWrap/>
            <w:vAlign w:val="center"/>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kern w:val="0"/>
                <w:sz w:val="20"/>
                <w:szCs w:val="20"/>
              </w:rPr>
              <w:t>014399</w:t>
            </w:r>
          </w:p>
        </w:tc>
        <w:tc>
          <w:tcPr>
            <w:tcW w:w="6379" w:type="dxa"/>
            <w:shd w:val="clear" w:color="auto" w:fill="auto"/>
            <w:noWrap/>
            <w:vAlign w:val="bottom"/>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hint="eastAsia"/>
                <w:kern w:val="0"/>
                <w:sz w:val="20"/>
                <w:szCs w:val="20"/>
              </w:rPr>
              <w:t>中银民利一年持有期债券型证券投资基金</w:t>
            </w:r>
            <w:r w:rsidRPr="005A61E8">
              <w:rPr>
                <w:rFonts w:ascii="宋体" w:eastAsia="宋体" w:hAnsi="宋体" w:cs="宋体"/>
                <w:kern w:val="0"/>
                <w:sz w:val="20"/>
                <w:szCs w:val="20"/>
              </w:rPr>
              <w:t>A类</w:t>
            </w:r>
          </w:p>
        </w:tc>
      </w:tr>
      <w:tr w:rsidR="00FC0A8B" w:rsidRPr="00FE2DB9" w:rsidTr="005A61E8">
        <w:trPr>
          <w:trHeight w:val="280"/>
          <w:jc w:val="center"/>
        </w:trPr>
        <w:tc>
          <w:tcPr>
            <w:tcW w:w="1524" w:type="dxa"/>
            <w:shd w:val="clear" w:color="auto" w:fill="auto"/>
            <w:noWrap/>
            <w:vAlign w:val="center"/>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kern w:val="0"/>
                <w:sz w:val="20"/>
                <w:szCs w:val="20"/>
              </w:rPr>
              <w:t>014400</w:t>
            </w:r>
          </w:p>
        </w:tc>
        <w:tc>
          <w:tcPr>
            <w:tcW w:w="6379" w:type="dxa"/>
            <w:shd w:val="clear" w:color="auto" w:fill="auto"/>
            <w:noWrap/>
            <w:vAlign w:val="bottom"/>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hint="eastAsia"/>
                <w:kern w:val="0"/>
                <w:sz w:val="20"/>
                <w:szCs w:val="20"/>
              </w:rPr>
              <w:t>中银民利一年持有期债券型证券投资基金</w:t>
            </w:r>
            <w:r w:rsidRPr="005A61E8">
              <w:rPr>
                <w:rFonts w:ascii="宋体" w:eastAsia="宋体" w:hAnsi="宋体" w:cs="宋体"/>
                <w:kern w:val="0"/>
                <w:sz w:val="20"/>
                <w:szCs w:val="20"/>
              </w:rPr>
              <w:t>C类</w:t>
            </w:r>
          </w:p>
        </w:tc>
      </w:tr>
      <w:tr w:rsidR="00FC0A8B" w:rsidRPr="00FE2DB9" w:rsidTr="005A61E8">
        <w:trPr>
          <w:trHeight w:val="280"/>
          <w:jc w:val="center"/>
        </w:trPr>
        <w:tc>
          <w:tcPr>
            <w:tcW w:w="1524" w:type="dxa"/>
            <w:shd w:val="clear" w:color="auto" w:fill="auto"/>
            <w:noWrap/>
            <w:vAlign w:val="center"/>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kern w:val="0"/>
                <w:sz w:val="20"/>
                <w:szCs w:val="20"/>
              </w:rPr>
              <w:t>016480</w:t>
            </w:r>
          </w:p>
        </w:tc>
        <w:tc>
          <w:tcPr>
            <w:tcW w:w="6379" w:type="dxa"/>
            <w:shd w:val="clear" w:color="auto" w:fill="auto"/>
            <w:noWrap/>
            <w:vAlign w:val="bottom"/>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hint="eastAsia"/>
                <w:kern w:val="0"/>
                <w:sz w:val="20"/>
                <w:szCs w:val="20"/>
              </w:rPr>
              <w:t>中银改革红利灵活配置混合型证券投资基金</w:t>
            </w:r>
            <w:r w:rsidRPr="005A61E8">
              <w:rPr>
                <w:rFonts w:ascii="宋体" w:eastAsia="宋体" w:hAnsi="宋体" w:cs="宋体"/>
                <w:kern w:val="0"/>
                <w:sz w:val="20"/>
                <w:szCs w:val="20"/>
              </w:rPr>
              <w:t>C类</w:t>
            </w:r>
          </w:p>
        </w:tc>
      </w:tr>
      <w:tr w:rsidR="00FC0A8B" w:rsidRPr="00FE2DB9" w:rsidTr="005A61E8">
        <w:trPr>
          <w:trHeight w:val="280"/>
          <w:jc w:val="center"/>
        </w:trPr>
        <w:tc>
          <w:tcPr>
            <w:tcW w:w="1524" w:type="dxa"/>
            <w:shd w:val="clear" w:color="auto" w:fill="auto"/>
            <w:noWrap/>
            <w:vAlign w:val="center"/>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kern w:val="0"/>
                <w:sz w:val="20"/>
                <w:szCs w:val="20"/>
              </w:rPr>
              <w:t>016520</w:t>
            </w:r>
          </w:p>
        </w:tc>
        <w:tc>
          <w:tcPr>
            <w:tcW w:w="6379" w:type="dxa"/>
            <w:shd w:val="clear" w:color="auto" w:fill="auto"/>
            <w:noWrap/>
            <w:vAlign w:val="bottom"/>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hint="eastAsia"/>
                <w:kern w:val="0"/>
                <w:sz w:val="20"/>
                <w:szCs w:val="20"/>
              </w:rPr>
              <w:t>中银稳进策略灵活配置混合型证券投资基金</w:t>
            </w:r>
            <w:r w:rsidRPr="005A61E8">
              <w:rPr>
                <w:rFonts w:ascii="宋体" w:eastAsia="宋体" w:hAnsi="宋体" w:cs="宋体"/>
                <w:kern w:val="0"/>
                <w:sz w:val="20"/>
                <w:szCs w:val="20"/>
              </w:rPr>
              <w:t>C类</w:t>
            </w:r>
          </w:p>
        </w:tc>
      </w:tr>
      <w:tr w:rsidR="00FC0A8B" w:rsidRPr="00FE2DB9" w:rsidTr="005A61E8">
        <w:trPr>
          <w:trHeight w:val="280"/>
          <w:jc w:val="center"/>
        </w:trPr>
        <w:tc>
          <w:tcPr>
            <w:tcW w:w="1524" w:type="dxa"/>
            <w:shd w:val="clear" w:color="auto" w:fill="auto"/>
            <w:noWrap/>
            <w:vAlign w:val="center"/>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kern w:val="0"/>
                <w:sz w:val="20"/>
                <w:szCs w:val="20"/>
              </w:rPr>
              <w:t>380010</w:t>
            </w:r>
          </w:p>
        </w:tc>
        <w:tc>
          <w:tcPr>
            <w:tcW w:w="6379" w:type="dxa"/>
            <w:shd w:val="clear" w:color="auto" w:fill="auto"/>
            <w:noWrap/>
            <w:vAlign w:val="bottom"/>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hint="eastAsia"/>
                <w:kern w:val="0"/>
                <w:sz w:val="20"/>
                <w:szCs w:val="20"/>
              </w:rPr>
              <w:t>中银聚享债券型证券投资基金</w:t>
            </w:r>
            <w:r w:rsidRPr="005A61E8">
              <w:rPr>
                <w:rFonts w:ascii="宋体" w:eastAsia="宋体" w:hAnsi="宋体" w:cs="宋体"/>
                <w:kern w:val="0"/>
                <w:sz w:val="20"/>
                <w:szCs w:val="20"/>
              </w:rPr>
              <w:t>A类</w:t>
            </w:r>
          </w:p>
        </w:tc>
      </w:tr>
      <w:tr w:rsidR="00FC0A8B" w:rsidRPr="00FE2DB9" w:rsidTr="005A61E8">
        <w:trPr>
          <w:trHeight w:val="280"/>
          <w:jc w:val="center"/>
        </w:trPr>
        <w:tc>
          <w:tcPr>
            <w:tcW w:w="1524" w:type="dxa"/>
            <w:shd w:val="clear" w:color="auto" w:fill="auto"/>
            <w:noWrap/>
            <w:vAlign w:val="center"/>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kern w:val="0"/>
                <w:sz w:val="20"/>
                <w:szCs w:val="20"/>
              </w:rPr>
              <w:t>380011</w:t>
            </w:r>
          </w:p>
        </w:tc>
        <w:tc>
          <w:tcPr>
            <w:tcW w:w="6379" w:type="dxa"/>
            <w:shd w:val="clear" w:color="auto" w:fill="auto"/>
            <w:noWrap/>
            <w:vAlign w:val="bottom"/>
          </w:tcPr>
          <w:p w:rsidR="00FC0A8B" w:rsidRPr="005A61E8" w:rsidRDefault="00FC0A8B" w:rsidP="00FC0A8B">
            <w:pPr>
              <w:widowControl/>
              <w:jc w:val="center"/>
              <w:rPr>
                <w:rFonts w:ascii="宋体" w:eastAsia="宋体" w:hAnsi="宋体" w:cs="宋体"/>
                <w:kern w:val="0"/>
                <w:sz w:val="20"/>
                <w:szCs w:val="20"/>
              </w:rPr>
            </w:pPr>
            <w:r w:rsidRPr="005A61E8">
              <w:rPr>
                <w:rFonts w:ascii="宋体" w:eastAsia="宋体" w:hAnsi="宋体" w:cs="宋体" w:hint="eastAsia"/>
                <w:kern w:val="0"/>
                <w:sz w:val="20"/>
                <w:szCs w:val="20"/>
              </w:rPr>
              <w:t>中银聚享债券型证券投资基金</w:t>
            </w:r>
            <w:r w:rsidRPr="005A61E8">
              <w:rPr>
                <w:rFonts w:ascii="宋体" w:eastAsia="宋体" w:hAnsi="宋体" w:cs="宋体"/>
                <w:kern w:val="0"/>
                <w:sz w:val="20"/>
                <w:szCs w:val="20"/>
              </w:rPr>
              <w:t>B类</w:t>
            </w:r>
          </w:p>
        </w:tc>
      </w:tr>
    </w:tbl>
    <w:p w:rsidR="00BB3FC5" w:rsidRDefault="00173276">
      <w:pPr>
        <w:pStyle w:val="a9"/>
        <w:numPr>
          <w:ilvl w:val="255"/>
          <w:numId w:val="0"/>
        </w:numPr>
        <w:tabs>
          <w:tab w:val="left" w:pos="851"/>
        </w:tabs>
        <w:spacing w:line="360" w:lineRule="auto"/>
        <w:rPr>
          <w:rFonts w:asciiTheme="minorEastAsia" w:hAnsiTheme="minorEastAsia" w:cs="宋体"/>
          <w:b/>
          <w:color w:val="000000"/>
          <w:szCs w:val="21"/>
        </w:rPr>
      </w:pPr>
      <w:r>
        <w:rPr>
          <w:rFonts w:asciiTheme="minorEastAsia" w:hAnsiTheme="minorEastAsia" w:cs="宋体" w:hint="eastAsia"/>
          <w:b/>
          <w:color w:val="000000"/>
          <w:szCs w:val="21"/>
        </w:rPr>
        <w:t xml:space="preserve">   </w:t>
      </w:r>
    </w:p>
    <w:p w:rsidR="00B81B36" w:rsidRDefault="00173276" w:rsidP="00FC0A8B">
      <w:pPr>
        <w:pStyle w:val="a9"/>
        <w:numPr>
          <w:ilvl w:val="255"/>
          <w:numId w:val="0"/>
        </w:numPr>
        <w:tabs>
          <w:tab w:val="left" w:pos="851"/>
        </w:tabs>
        <w:spacing w:line="360" w:lineRule="auto"/>
        <w:ind w:leftChars="135" w:left="283"/>
        <w:rPr>
          <w:rFonts w:ascii="宋体" w:eastAsia="宋体" w:hAnsi="宋体"/>
          <w:color w:val="000000"/>
          <w:sz w:val="24"/>
          <w:szCs w:val="24"/>
        </w:rPr>
      </w:pPr>
      <w:r>
        <w:rPr>
          <w:rFonts w:asciiTheme="minorEastAsia" w:hAnsiTheme="minorEastAsia" w:cs="宋体" w:hint="eastAsia"/>
          <w:b/>
          <w:color w:val="000000"/>
          <w:szCs w:val="21"/>
        </w:rPr>
        <w:t xml:space="preserve"> 二、投资者可以通过以下途径咨询有关详情：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1、中银基金管理有限公司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客户服务电话：400-888-5566 或 021-38834788 </w:t>
      </w:r>
    </w:p>
    <w:p w:rsidR="00B81B36" w:rsidRDefault="00173276">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 xml:space="preserve">公司网站：www.bocim.com </w:t>
      </w:r>
    </w:p>
    <w:p w:rsidR="00F20054" w:rsidRPr="00F20054" w:rsidRDefault="00173276" w:rsidP="00F20054">
      <w:pPr>
        <w:pStyle w:val="CM4"/>
        <w:spacing w:line="360" w:lineRule="auto"/>
        <w:ind w:right="105" w:firstLineChars="200" w:firstLine="420"/>
        <w:rPr>
          <w:rFonts w:asciiTheme="minorEastAsia" w:eastAsiaTheme="minorEastAsia" w:hAnsiTheme="minorEastAsia" w:cs="宋体"/>
          <w:sz w:val="21"/>
          <w:szCs w:val="21"/>
        </w:rPr>
      </w:pPr>
      <w:r>
        <w:rPr>
          <w:rFonts w:asciiTheme="minorEastAsia" w:eastAsiaTheme="minorEastAsia" w:hAnsiTheme="minorEastAsia" w:cs="宋体"/>
          <w:sz w:val="21"/>
          <w:szCs w:val="21"/>
        </w:rPr>
        <w:t>2、</w:t>
      </w:r>
      <w:r w:rsidR="00A111C9" w:rsidRPr="00A111C9">
        <w:rPr>
          <w:rFonts w:asciiTheme="minorEastAsia" w:eastAsiaTheme="minorEastAsia" w:hAnsiTheme="minorEastAsia" w:cs="宋体" w:hint="eastAsia"/>
          <w:sz w:val="21"/>
          <w:szCs w:val="21"/>
        </w:rPr>
        <w:t>京东肯特瑞基金销售有限公司</w:t>
      </w:r>
      <w:r w:rsidR="00F20054" w:rsidRPr="00F20054">
        <w:rPr>
          <w:rFonts w:asciiTheme="minorEastAsia" w:eastAsiaTheme="minorEastAsia" w:hAnsiTheme="minorEastAsia" w:cs="宋体" w:hint="eastAsia"/>
          <w:sz w:val="21"/>
          <w:szCs w:val="21"/>
        </w:rPr>
        <w:t xml:space="preserve"> </w:t>
      </w:r>
    </w:p>
    <w:p w:rsidR="00F20054" w:rsidRPr="00F20054" w:rsidRDefault="00F20054" w:rsidP="00F20054">
      <w:pPr>
        <w:pStyle w:val="CM4"/>
        <w:spacing w:line="360" w:lineRule="auto"/>
        <w:ind w:right="105" w:firstLineChars="200" w:firstLine="420"/>
        <w:rPr>
          <w:rFonts w:asciiTheme="minorEastAsia" w:eastAsiaTheme="minorEastAsia" w:hAnsiTheme="minorEastAsia" w:cs="宋体"/>
          <w:sz w:val="21"/>
          <w:szCs w:val="21"/>
        </w:rPr>
      </w:pPr>
      <w:r w:rsidRPr="00F20054">
        <w:rPr>
          <w:rFonts w:asciiTheme="minorEastAsia" w:eastAsiaTheme="minorEastAsia" w:hAnsiTheme="minorEastAsia" w:cs="宋体" w:hint="eastAsia"/>
          <w:sz w:val="21"/>
          <w:szCs w:val="21"/>
        </w:rPr>
        <w:t>客户服务热线:</w:t>
      </w:r>
      <w:r w:rsidR="00A111C9" w:rsidRPr="00A111C9">
        <w:rPr>
          <w:rFonts w:asciiTheme="minorEastAsia" w:eastAsiaTheme="minorEastAsia" w:hAnsiTheme="minorEastAsia" w:cs="宋体"/>
          <w:sz w:val="21"/>
          <w:szCs w:val="21"/>
        </w:rPr>
        <w:t>95118</w:t>
      </w:r>
    </w:p>
    <w:p w:rsidR="00B81B36" w:rsidRDefault="00A111C9" w:rsidP="00F20054">
      <w:pPr>
        <w:pStyle w:val="CM4"/>
        <w:spacing w:line="360" w:lineRule="auto"/>
        <w:ind w:right="105" w:firstLineChars="200" w:firstLine="420"/>
        <w:rPr>
          <w:rFonts w:asciiTheme="minorEastAsia" w:eastAsiaTheme="minorEastAsia" w:hAnsiTheme="minorEastAsia" w:cs="宋体"/>
          <w:sz w:val="21"/>
          <w:szCs w:val="21"/>
        </w:rPr>
      </w:pPr>
      <w:r w:rsidRPr="00A111C9">
        <w:rPr>
          <w:rFonts w:asciiTheme="minorEastAsia" w:eastAsiaTheme="minorEastAsia" w:hAnsiTheme="minorEastAsia" w:cs="宋体" w:hint="eastAsia"/>
          <w:sz w:val="21"/>
          <w:szCs w:val="21"/>
        </w:rPr>
        <w:t>公司网站</w:t>
      </w:r>
      <w:r w:rsidR="00F20054" w:rsidRPr="00F20054">
        <w:rPr>
          <w:rFonts w:asciiTheme="minorEastAsia" w:eastAsiaTheme="minorEastAsia" w:hAnsiTheme="minorEastAsia" w:cs="宋体" w:hint="eastAsia"/>
          <w:sz w:val="21"/>
          <w:szCs w:val="21"/>
        </w:rPr>
        <w:t>:</w:t>
      </w:r>
      <w:r w:rsidR="00646CF3" w:rsidRPr="00646CF3">
        <w:t xml:space="preserve"> </w:t>
      </w:r>
      <w:r w:rsidRPr="005A61E8">
        <w:rPr>
          <w:rFonts w:asciiTheme="minorEastAsia" w:eastAsiaTheme="minorEastAsia" w:hAnsiTheme="minorEastAsia" w:cs="宋体"/>
          <w:sz w:val="21"/>
          <w:szCs w:val="21"/>
        </w:rPr>
        <w:t>kenterui.jd.com</w:t>
      </w:r>
      <w:r w:rsidRPr="005A61E8" w:rsidDel="00A111C9">
        <w:rPr>
          <w:rFonts w:asciiTheme="minorEastAsia" w:eastAsiaTheme="minorEastAsia" w:hAnsiTheme="minorEastAsia" w:cs="宋体"/>
          <w:sz w:val="21"/>
          <w:szCs w:val="21"/>
        </w:rPr>
        <w:t xml:space="preserve"> </w:t>
      </w:r>
    </w:p>
    <w:p w:rsidR="00BB3FC5" w:rsidRDefault="00BB3FC5">
      <w:pPr>
        <w:pStyle w:val="CM1"/>
        <w:spacing w:line="360" w:lineRule="auto"/>
        <w:ind w:firstLine="420"/>
        <w:rPr>
          <w:rFonts w:asciiTheme="minorEastAsia" w:eastAsiaTheme="minorEastAsia" w:hAnsiTheme="minorEastAsia" w:cs="宋体"/>
          <w:b/>
          <w:sz w:val="21"/>
          <w:szCs w:val="21"/>
        </w:rPr>
      </w:pPr>
    </w:p>
    <w:p w:rsidR="00B81B36" w:rsidRDefault="00173276">
      <w:pPr>
        <w:pStyle w:val="CM1"/>
        <w:spacing w:line="360" w:lineRule="auto"/>
        <w:ind w:firstLine="420"/>
        <w:rPr>
          <w:rFonts w:asciiTheme="minorEastAsia" w:eastAsiaTheme="minorEastAsia" w:hAnsiTheme="minorEastAsia" w:cs="宋体"/>
          <w:b/>
          <w:sz w:val="21"/>
          <w:szCs w:val="21"/>
        </w:rPr>
      </w:pPr>
      <w:r>
        <w:rPr>
          <w:rFonts w:asciiTheme="minorEastAsia" w:eastAsiaTheme="minorEastAsia" w:hAnsiTheme="minorEastAsia" w:cs="宋体" w:hint="eastAsia"/>
          <w:b/>
          <w:sz w:val="21"/>
          <w:szCs w:val="21"/>
        </w:rPr>
        <w:lastRenderedPageBreak/>
        <w:t>风险提示：</w:t>
      </w:r>
    </w:p>
    <w:p w:rsidR="00726249" w:rsidRDefault="00726249">
      <w:pPr>
        <w:pStyle w:val="CM5"/>
        <w:spacing w:line="360" w:lineRule="auto"/>
        <w:ind w:firstLine="420"/>
        <w:rPr>
          <w:rFonts w:asciiTheme="minorEastAsia" w:eastAsiaTheme="minorEastAsia" w:hAnsiTheme="minorEastAsia" w:cs="宋体"/>
          <w:sz w:val="21"/>
          <w:szCs w:val="21"/>
        </w:rPr>
      </w:pPr>
      <w:r w:rsidRPr="00726249">
        <w:rPr>
          <w:rFonts w:asciiTheme="minorEastAsia" w:eastAsiaTheme="minorEastAsia" w:hAnsiTheme="minorEastAsia" w:cs="宋体" w:hint="eastAsia"/>
          <w:sz w:val="21"/>
          <w:szCs w:val="21"/>
        </w:rPr>
        <w:t>定开基金以定期开放方式进行运作，在非开放期间投资者不能进行申购、赎回。</w:t>
      </w:r>
    </w:p>
    <w:p w:rsidR="00B81B36" w:rsidRDefault="00173276">
      <w:pPr>
        <w:pStyle w:val="CM5"/>
        <w:spacing w:line="360" w:lineRule="auto"/>
        <w:ind w:firstLine="420"/>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买者自负</w:t>
      </w:r>
      <w:r>
        <w:rPr>
          <w:rFonts w:asciiTheme="minorEastAsia" w:eastAsiaTheme="minorEastAsia" w:hAnsiTheme="minorEastAsia" w:cs="宋体"/>
          <w:sz w:val="21"/>
          <w:szCs w:val="21"/>
        </w:rPr>
        <w:t>”</w:t>
      </w:r>
      <w:r>
        <w:rPr>
          <w:rFonts w:asciiTheme="minorEastAsia" w:eastAsiaTheme="minorEastAsia" w:hAnsiTheme="minorEastAsia" w:cs="宋体" w:hint="eastAsia"/>
          <w:sz w:val="21"/>
          <w:szCs w:val="21"/>
        </w:rPr>
        <w:t>原则，在做出投资决策后，基金运营状况与基金净值变化引致的投资风险，由投资者自行负担。</w:t>
      </w:r>
      <w:r w:rsidR="00A111C9" w:rsidRPr="00A111C9">
        <w:rPr>
          <w:rFonts w:asciiTheme="minorEastAsia" w:eastAsiaTheme="minorEastAsia" w:hAnsiTheme="minorEastAsia" w:cs="宋体" w:hint="eastAsia"/>
          <w:sz w:val="21"/>
          <w:szCs w:val="21"/>
        </w:rPr>
        <w:t>投资于货币市场基金并不等同于将资金作为存款存放在银行或存款类金融机构。</w:t>
      </w:r>
      <w:r>
        <w:rPr>
          <w:rFonts w:asciiTheme="minorEastAsia" w:eastAsiaTheme="minorEastAsia" w:hAnsiTheme="minorEastAsia" w:cs="宋体" w:hint="eastAsia"/>
          <w:sz w:val="21"/>
          <w:szCs w:val="21"/>
        </w:rPr>
        <w:t>投资者投资本基金前应认真阅读基金合同、招募说明书</w:t>
      </w:r>
      <w:r w:rsidR="00526288">
        <w:rPr>
          <w:rFonts w:asciiTheme="minorEastAsia" w:eastAsiaTheme="minorEastAsia" w:hAnsiTheme="minorEastAsia" w:cs="宋体" w:hint="eastAsia"/>
          <w:sz w:val="21"/>
          <w:szCs w:val="21"/>
        </w:rPr>
        <w:t>、</w:t>
      </w:r>
      <w:r w:rsidR="00526288">
        <w:rPr>
          <w:rFonts w:asciiTheme="minorEastAsia" w:eastAsiaTheme="minorEastAsia" w:hAnsiTheme="minorEastAsia" w:cs="宋体"/>
          <w:sz w:val="21"/>
          <w:szCs w:val="21"/>
        </w:rPr>
        <w:t>产品资料</w:t>
      </w:r>
      <w:r w:rsidR="00526288">
        <w:rPr>
          <w:rFonts w:asciiTheme="minorEastAsia" w:eastAsiaTheme="minorEastAsia" w:hAnsiTheme="minorEastAsia" w:cs="宋体" w:hint="eastAsia"/>
          <w:sz w:val="21"/>
          <w:szCs w:val="21"/>
        </w:rPr>
        <w:t>概要</w:t>
      </w:r>
      <w:r>
        <w:rPr>
          <w:rFonts w:asciiTheme="minorEastAsia" w:eastAsiaTheme="minorEastAsia" w:hAnsiTheme="minorEastAsia" w:cs="宋体" w:hint="eastAsia"/>
          <w:sz w:val="21"/>
          <w:szCs w:val="21"/>
        </w:rPr>
        <w:t>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B81B36" w:rsidRDefault="00B81B36">
      <w:pPr>
        <w:rPr>
          <w:rFonts w:asciiTheme="minorEastAsia" w:hAnsiTheme="minorEastAsia"/>
          <w:szCs w:val="21"/>
        </w:rPr>
      </w:pPr>
    </w:p>
    <w:p w:rsidR="00B81B36" w:rsidRDefault="00173276">
      <w:pPr>
        <w:ind w:firstLineChars="200" w:firstLine="420"/>
        <w:rPr>
          <w:rFonts w:asciiTheme="minorEastAsia" w:hAnsiTheme="minorEastAsia"/>
          <w:szCs w:val="21"/>
        </w:rPr>
      </w:pPr>
      <w:r>
        <w:rPr>
          <w:rFonts w:asciiTheme="minorEastAsia" w:hAnsiTheme="minorEastAsia" w:hint="eastAsia"/>
          <w:szCs w:val="21"/>
        </w:rPr>
        <w:t>特此公告。</w:t>
      </w:r>
    </w:p>
    <w:p w:rsidR="00B81B36" w:rsidRDefault="00173276">
      <w:pPr>
        <w:pStyle w:val="Default"/>
        <w:spacing w:line="360" w:lineRule="auto"/>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中银基金管理有限公司</w:t>
      </w:r>
    </w:p>
    <w:p w:rsidR="00B81B36" w:rsidRPr="00931222" w:rsidRDefault="001C0C56" w:rsidP="00726249">
      <w:pPr>
        <w:pStyle w:val="Default"/>
        <w:spacing w:line="360" w:lineRule="auto"/>
        <w:jc w:val="right"/>
      </w:pPr>
      <w:r>
        <w:rPr>
          <w:rFonts w:asciiTheme="minorEastAsia" w:eastAsiaTheme="minorEastAsia" w:hAnsiTheme="minorEastAsia" w:hint="eastAsia"/>
          <w:color w:val="auto"/>
          <w:sz w:val="21"/>
          <w:szCs w:val="21"/>
        </w:rPr>
        <w:t>202</w:t>
      </w:r>
      <w:r w:rsidR="00726249">
        <w:rPr>
          <w:rFonts w:asciiTheme="minorEastAsia" w:eastAsiaTheme="minorEastAsia" w:hAnsiTheme="minorEastAsia"/>
          <w:color w:val="auto"/>
          <w:sz w:val="21"/>
          <w:szCs w:val="21"/>
        </w:rPr>
        <w:t>3</w:t>
      </w:r>
      <w:r w:rsidR="00173276">
        <w:rPr>
          <w:rFonts w:asciiTheme="minorEastAsia" w:eastAsiaTheme="minorEastAsia" w:hAnsiTheme="minorEastAsia" w:hint="eastAsia"/>
          <w:color w:val="auto"/>
          <w:sz w:val="21"/>
          <w:szCs w:val="21"/>
        </w:rPr>
        <w:t>年</w:t>
      </w:r>
      <w:r w:rsidR="0013610D">
        <w:rPr>
          <w:rFonts w:asciiTheme="minorEastAsia" w:eastAsiaTheme="minorEastAsia" w:hAnsiTheme="minorEastAsia"/>
          <w:color w:val="auto"/>
          <w:sz w:val="21"/>
          <w:szCs w:val="21"/>
        </w:rPr>
        <w:t>2</w:t>
      </w:r>
      <w:r w:rsidR="007847CA">
        <w:rPr>
          <w:rFonts w:asciiTheme="minorEastAsia" w:eastAsiaTheme="minorEastAsia" w:hAnsiTheme="minorEastAsia"/>
          <w:color w:val="auto"/>
          <w:sz w:val="21"/>
          <w:szCs w:val="21"/>
        </w:rPr>
        <w:t>月</w:t>
      </w:r>
      <w:r w:rsidR="0013610D">
        <w:rPr>
          <w:rFonts w:asciiTheme="minorEastAsia" w:eastAsiaTheme="minorEastAsia" w:hAnsiTheme="minorEastAsia"/>
          <w:color w:val="auto"/>
          <w:sz w:val="21"/>
          <w:szCs w:val="21"/>
        </w:rPr>
        <w:t>20</w:t>
      </w:r>
      <w:r w:rsidR="007847CA">
        <w:rPr>
          <w:rFonts w:asciiTheme="minorEastAsia" w:eastAsiaTheme="minorEastAsia" w:hAnsiTheme="minorEastAsia"/>
          <w:color w:val="auto"/>
          <w:sz w:val="21"/>
          <w:szCs w:val="21"/>
        </w:rPr>
        <w:t>日</w:t>
      </w:r>
    </w:p>
    <w:sectPr w:rsidR="00B81B36" w:rsidRPr="00931222" w:rsidSect="000228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F0" w:rsidRDefault="007364F0" w:rsidP="00DE357B">
      <w:r>
        <w:separator/>
      </w:r>
    </w:p>
  </w:endnote>
  <w:endnote w:type="continuationSeparator" w:id="0">
    <w:p w:rsidR="007364F0" w:rsidRDefault="007364F0" w:rsidP="00DE3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F0" w:rsidRDefault="007364F0" w:rsidP="00DE357B">
      <w:r>
        <w:separator/>
      </w:r>
    </w:p>
  </w:footnote>
  <w:footnote w:type="continuationSeparator" w:id="0">
    <w:p w:rsidR="007364F0" w:rsidRDefault="007364F0" w:rsidP="00DE3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D90"/>
    <w:multiLevelType w:val="multilevel"/>
    <w:tmpl w:val="00490D90"/>
    <w:lvl w:ilvl="0">
      <w:start w:val="1"/>
      <w:numFmt w:val="japaneseCounting"/>
      <w:lvlText w:val="%1、"/>
      <w:lvlJc w:val="left"/>
      <w:pPr>
        <w:ind w:left="840" w:hanging="420"/>
      </w:pPr>
      <w:rPr>
        <w:rFonts w:hint="default"/>
        <w:b/>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28C0"/>
    <w:rsid w:val="00026171"/>
    <w:rsid w:val="0003234D"/>
    <w:rsid w:val="00032C09"/>
    <w:rsid w:val="00034BF2"/>
    <w:rsid w:val="00036649"/>
    <w:rsid w:val="00042DD3"/>
    <w:rsid w:val="00054263"/>
    <w:rsid w:val="00061BC0"/>
    <w:rsid w:val="00076E0F"/>
    <w:rsid w:val="00092E4C"/>
    <w:rsid w:val="000C4AB2"/>
    <w:rsid w:val="000F7B99"/>
    <w:rsid w:val="00104810"/>
    <w:rsid w:val="00115ACD"/>
    <w:rsid w:val="0013610D"/>
    <w:rsid w:val="0014129B"/>
    <w:rsid w:val="00153B28"/>
    <w:rsid w:val="00172A27"/>
    <w:rsid w:val="00173276"/>
    <w:rsid w:val="0018517F"/>
    <w:rsid w:val="001A173D"/>
    <w:rsid w:val="001A32E5"/>
    <w:rsid w:val="001B3E65"/>
    <w:rsid w:val="001B607F"/>
    <w:rsid w:val="001C0C56"/>
    <w:rsid w:val="001D422A"/>
    <w:rsid w:val="002037A8"/>
    <w:rsid w:val="0023085C"/>
    <w:rsid w:val="002350D0"/>
    <w:rsid w:val="00243C0F"/>
    <w:rsid w:val="00261617"/>
    <w:rsid w:val="002C169B"/>
    <w:rsid w:val="002D43F7"/>
    <w:rsid w:val="00312023"/>
    <w:rsid w:val="00391F37"/>
    <w:rsid w:val="003E0689"/>
    <w:rsid w:val="003E43AE"/>
    <w:rsid w:val="003E6D75"/>
    <w:rsid w:val="003F6A8E"/>
    <w:rsid w:val="004715E6"/>
    <w:rsid w:val="004728C9"/>
    <w:rsid w:val="0049343A"/>
    <w:rsid w:val="004C18B9"/>
    <w:rsid w:val="004C6E47"/>
    <w:rsid w:val="004E2529"/>
    <w:rsid w:val="00526288"/>
    <w:rsid w:val="005402CF"/>
    <w:rsid w:val="00540943"/>
    <w:rsid w:val="00557D18"/>
    <w:rsid w:val="00561AA1"/>
    <w:rsid w:val="005A61E8"/>
    <w:rsid w:val="005B0AAD"/>
    <w:rsid w:val="00624760"/>
    <w:rsid w:val="006247C4"/>
    <w:rsid w:val="006268C1"/>
    <w:rsid w:val="00636B0D"/>
    <w:rsid w:val="006442F6"/>
    <w:rsid w:val="00646CF3"/>
    <w:rsid w:val="0066426E"/>
    <w:rsid w:val="006716B2"/>
    <w:rsid w:val="006A47A6"/>
    <w:rsid w:val="006B4063"/>
    <w:rsid w:val="006B5C1A"/>
    <w:rsid w:val="006D5FB8"/>
    <w:rsid w:val="0070453A"/>
    <w:rsid w:val="00707828"/>
    <w:rsid w:val="00722101"/>
    <w:rsid w:val="00726249"/>
    <w:rsid w:val="00731E8B"/>
    <w:rsid w:val="007339D1"/>
    <w:rsid w:val="007360CB"/>
    <w:rsid w:val="007364F0"/>
    <w:rsid w:val="00744F06"/>
    <w:rsid w:val="007509FF"/>
    <w:rsid w:val="0075251E"/>
    <w:rsid w:val="007847CA"/>
    <w:rsid w:val="007A0292"/>
    <w:rsid w:val="007A02B8"/>
    <w:rsid w:val="007A7AA8"/>
    <w:rsid w:val="007B3E74"/>
    <w:rsid w:val="007B6B81"/>
    <w:rsid w:val="007E74EB"/>
    <w:rsid w:val="007F550B"/>
    <w:rsid w:val="008546E9"/>
    <w:rsid w:val="00884131"/>
    <w:rsid w:val="008A35FD"/>
    <w:rsid w:val="008D7D71"/>
    <w:rsid w:val="008E175B"/>
    <w:rsid w:val="0091105E"/>
    <w:rsid w:val="00931222"/>
    <w:rsid w:val="00950164"/>
    <w:rsid w:val="00966ECC"/>
    <w:rsid w:val="009869C8"/>
    <w:rsid w:val="009D5926"/>
    <w:rsid w:val="00A0081D"/>
    <w:rsid w:val="00A111C9"/>
    <w:rsid w:val="00A32C13"/>
    <w:rsid w:val="00A32F3B"/>
    <w:rsid w:val="00A82AD0"/>
    <w:rsid w:val="00A95CF5"/>
    <w:rsid w:val="00AA6675"/>
    <w:rsid w:val="00AF35CA"/>
    <w:rsid w:val="00B20BAD"/>
    <w:rsid w:val="00B407B9"/>
    <w:rsid w:val="00B55B77"/>
    <w:rsid w:val="00B730ED"/>
    <w:rsid w:val="00B81B36"/>
    <w:rsid w:val="00BB2CB2"/>
    <w:rsid w:val="00BB3FC5"/>
    <w:rsid w:val="00BC65B9"/>
    <w:rsid w:val="00BD3725"/>
    <w:rsid w:val="00BD4F7A"/>
    <w:rsid w:val="00C60E21"/>
    <w:rsid w:val="00C65C9F"/>
    <w:rsid w:val="00C704FF"/>
    <w:rsid w:val="00C767C5"/>
    <w:rsid w:val="00CA5ED8"/>
    <w:rsid w:val="00CC1864"/>
    <w:rsid w:val="00CC35FA"/>
    <w:rsid w:val="00CD2032"/>
    <w:rsid w:val="00CF5EFD"/>
    <w:rsid w:val="00D02CC9"/>
    <w:rsid w:val="00D075DC"/>
    <w:rsid w:val="00D22F99"/>
    <w:rsid w:val="00D31BA1"/>
    <w:rsid w:val="00D44E56"/>
    <w:rsid w:val="00D61851"/>
    <w:rsid w:val="00D93905"/>
    <w:rsid w:val="00DA5E82"/>
    <w:rsid w:val="00DB1DC5"/>
    <w:rsid w:val="00DB52FF"/>
    <w:rsid w:val="00DE357B"/>
    <w:rsid w:val="00DF7CD9"/>
    <w:rsid w:val="00E27246"/>
    <w:rsid w:val="00E42C8B"/>
    <w:rsid w:val="00E448B9"/>
    <w:rsid w:val="00E46660"/>
    <w:rsid w:val="00E63BCC"/>
    <w:rsid w:val="00E65A73"/>
    <w:rsid w:val="00E93E42"/>
    <w:rsid w:val="00EC67DF"/>
    <w:rsid w:val="00ED5DE3"/>
    <w:rsid w:val="00EE3E9D"/>
    <w:rsid w:val="00EE741F"/>
    <w:rsid w:val="00EE7CFF"/>
    <w:rsid w:val="00F15DDC"/>
    <w:rsid w:val="00F20054"/>
    <w:rsid w:val="00F613A9"/>
    <w:rsid w:val="00F96187"/>
    <w:rsid w:val="00FA4625"/>
    <w:rsid w:val="00FA7693"/>
    <w:rsid w:val="00FC0A8B"/>
    <w:rsid w:val="00FC4429"/>
    <w:rsid w:val="00FE0CA7"/>
    <w:rsid w:val="00FE2DB9"/>
    <w:rsid w:val="013135D6"/>
    <w:rsid w:val="040E63AA"/>
    <w:rsid w:val="042D6EF7"/>
    <w:rsid w:val="056A173D"/>
    <w:rsid w:val="058B2CA8"/>
    <w:rsid w:val="05C2353E"/>
    <w:rsid w:val="0B3D69DB"/>
    <w:rsid w:val="0C132F52"/>
    <w:rsid w:val="0C67239B"/>
    <w:rsid w:val="0DBA07FD"/>
    <w:rsid w:val="0F0E394A"/>
    <w:rsid w:val="0F9E0A67"/>
    <w:rsid w:val="0FDB5C7D"/>
    <w:rsid w:val="14B6272A"/>
    <w:rsid w:val="15331548"/>
    <w:rsid w:val="15F62757"/>
    <w:rsid w:val="16060C45"/>
    <w:rsid w:val="17205B62"/>
    <w:rsid w:val="18C01915"/>
    <w:rsid w:val="1A66327B"/>
    <w:rsid w:val="1BE776DA"/>
    <w:rsid w:val="1CC170E4"/>
    <w:rsid w:val="1E24731B"/>
    <w:rsid w:val="20232981"/>
    <w:rsid w:val="225D0F71"/>
    <w:rsid w:val="22E7080C"/>
    <w:rsid w:val="235177AC"/>
    <w:rsid w:val="23C8355B"/>
    <w:rsid w:val="25E66ED8"/>
    <w:rsid w:val="2647180F"/>
    <w:rsid w:val="26C36B15"/>
    <w:rsid w:val="29D01132"/>
    <w:rsid w:val="2A4F4E6C"/>
    <w:rsid w:val="2B5D4C1C"/>
    <w:rsid w:val="2BE21266"/>
    <w:rsid w:val="2CCC13C9"/>
    <w:rsid w:val="2D347BA5"/>
    <w:rsid w:val="2E4F5F5D"/>
    <w:rsid w:val="2E865632"/>
    <w:rsid w:val="323B44F0"/>
    <w:rsid w:val="32C11DA0"/>
    <w:rsid w:val="33246C9B"/>
    <w:rsid w:val="34F012F2"/>
    <w:rsid w:val="35151DED"/>
    <w:rsid w:val="36391AA0"/>
    <w:rsid w:val="36B90237"/>
    <w:rsid w:val="38487EC2"/>
    <w:rsid w:val="39335A81"/>
    <w:rsid w:val="3A671770"/>
    <w:rsid w:val="3A9751C7"/>
    <w:rsid w:val="40D61DEC"/>
    <w:rsid w:val="414B082C"/>
    <w:rsid w:val="43383909"/>
    <w:rsid w:val="447D44AE"/>
    <w:rsid w:val="45D03169"/>
    <w:rsid w:val="46A3732D"/>
    <w:rsid w:val="47FF17A3"/>
    <w:rsid w:val="48EF207A"/>
    <w:rsid w:val="490548D9"/>
    <w:rsid w:val="4A502864"/>
    <w:rsid w:val="4B6572C9"/>
    <w:rsid w:val="4C193705"/>
    <w:rsid w:val="4D021B2B"/>
    <w:rsid w:val="4E064B32"/>
    <w:rsid w:val="4E32323D"/>
    <w:rsid w:val="4F441891"/>
    <w:rsid w:val="4FDA4365"/>
    <w:rsid w:val="5102647A"/>
    <w:rsid w:val="51130300"/>
    <w:rsid w:val="52A20724"/>
    <w:rsid w:val="53745696"/>
    <w:rsid w:val="53D70DD1"/>
    <w:rsid w:val="55004605"/>
    <w:rsid w:val="56037336"/>
    <w:rsid w:val="576F0185"/>
    <w:rsid w:val="57C1130D"/>
    <w:rsid w:val="57EA4DE1"/>
    <w:rsid w:val="57F96707"/>
    <w:rsid w:val="57FA1B84"/>
    <w:rsid w:val="59202DBB"/>
    <w:rsid w:val="59DE5B00"/>
    <w:rsid w:val="5A4460D6"/>
    <w:rsid w:val="5DEC49A3"/>
    <w:rsid w:val="5FAC49A1"/>
    <w:rsid w:val="5FD36FA9"/>
    <w:rsid w:val="603605FE"/>
    <w:rsid w:val="607F64F4"/>
    <w:rsid w:val="62E03325"/>
    <w:rsid w:val="64A54BB5"/>
    <w:rsid w:val="6564451C"/>
    <w:rsid w:val="66AF7BC5"/>
    <w:rsid w:val="68E4368B"/>
    <w:rsid w:val="6A087CCA"/>
    <w:rsid w:val="6A8F1B76"/>
    <w:rsid w:val="6AF41AFC"/>
    <w:rsid w:val="6B666F42"/>
    <w:rsid w:val="6BB95909"/>
    <w:rsid w:val="6BFD4E86"/>
    <w:rsid w:val="6C476826"/>
    <w:rsid w:val="6C743433"/>
    <w:rsid w:val="6C7B1336"/>
    <w:rsid w:val="6E171C35"/>
    <w:rsid w:val="6E302C81"/>
    <w:rsid w:val="6EF83A02"/>
    <w:rsid w:val="6F747D55"/>
    <w:rsid w:val="70151ECA"/>
    <w:rsid w:val="707B35CD"/>
    <w:rsid w:val="71190571"/>
    <w:rsid w:val="717A7E97"/>
    <w:rsid w:val="719E2482"/>
    <w:rsid w:val="74090322"/>
    <w:rsid w:val="74687549"/>
    <w:rsid w:val="74896ACE"/>
    <w:rsid w:val="77720B0D"/>
    <w:rsid w:val="77DE74C5"/>
    <w:rsid w:val="79BA6622"/>
    <w:rsid w:val="7A5610FC"/>
    <w:rsid w:val="7A623640"/>
    <w:rsid w:val="7DF636B5"/>
    <w:rsid w:val="7E331D1A"/>
    <w:rsid w:val="7E3542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C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0228C0"/>
    <w:pPr>
      <w:jc w:val="left"/>
    </w:pPr>
  </w:style>
  <w:style w:type="paragraph" w:styleId="a4">
    <w:name w:val="Balloon Text"/>
    <w:basedOn w:val="a"/>
    <w:link w:val="Char0"/>
    <w:uiPriority w:val="99"/>
    <w:semiHidden/>
    <w:unhideWhenUsed/>
    <w:qFormat/>
    <w:rsid w:val="000228C0"/>
    <w:rPr>
      <w:sz w:val="18"/>
      <w:szCs w:val="18"/>
    </w:rPr>
  </w:style>
  <w:style w:type="paragraph" w:styleId="a5">
    <w:name w:val="footer"/>
    <w:basedOn w:val="a"/>
    <w:link w:val="Char1"/>
    <w:uiPriority w:val="99"/>
    <w:unhideWhenUsed/>
    <w:qFormat/>
    <w:rsid w:val="000228C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228C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0228C0"/>
    <w:rPr>
      <w:b/>
      <w:bCs/>
    </w:rPr>
  </w:style>
  <w:style w:type="character" w:styleId="a8">
    <w:name w:val="annotation reference"/>
    <w:basedOn w:val="a0"/>
    <w:uiPriority w:val="99"/>
    <w:semiHidden/>
    <w:unhideWhenUsed/>
    <w:qFormat/>
    <w:rsid w:val="000228C0"/>
    <w:rPr>
      <w:sz w:val="21"/>
      <w:szCs w:val="21"/>
    </w:rPr>
  </w:style>
  <w:style w:type="character" w:customStyle="1" w:styleId="Char2">
    <w:name w:val="页眉 Char"/>
    <w:basedOn w:val="a0"/>
    <w:link w:val="a6"/>
    <w:uiPriority w:val="99"/>
    <w:qFormat/>
    <w:rsid w:val="000228C0"/>
    <w:rPr>
      <w:sz w:val="18"/>
      <w:szCs w:val="18"/>
    </w:rPr>
  </w:style>
  <w:style w:type="character" w:customStyle="1" w:styleId="Char1">
    <w:name w:val="页脚 Char"/>
    <w:basedOn w:val="a0"/>
    <w:link w:val="a5"/>
    <w:uiPriority w:val="99"/>
    <w:qFormat/>
    <w:rsid w:val="000228C0"/>
    <w:rPr>
      <w:sz w:val="18"/>
      <w:szCs w:val="18"/>
    </w:rPr>
  </w:style>
  <w:style w:type="paragraph" w:customStyle="1" w:styleId="CM5">
    <w:name w:val="CM5"/>
    <w:basedOn w:val="a"/>
    <w:next w:val="a"/>
    <w:uiPriority w:val="99"/>
    <w:qFormat/>
    <w:rsid w:val="000228C0"/>
    <w:pPr>
      <w:autoSpaceDE w:val="0"/>
      <w:autoSpaceDN w:val="0"/>
      <w:adjustRightInd w:val="0"/>
      <w:jc w:val="left"/>
    </w:pPr>
    <w:rPr>
      <w:rFonts w:ascii="宋体" w:eastAsia="宋体"/>
      <w:kern w:val="0"/>
      <w:sz w:val="24"/>
      <w:szCs w:val="24"/>
    </w:rPr>
  </w:style>
  <w:style w:type="paragraph" w:customStyle="1" w:styleId="CM6">
    <w:name w:val="CM6"/>
    <w:basedOn w:val="a"/>
    <w:next w:val="a"/>
    <w:uiPriority w:val="99"/>
    <w:qFormat/>
    <w:rsid w:val="000228C0"/>
    <w:pPr>
      <w:autoSpaceDE w:val="0"/>
      <w:autoSpaceDN w:val="0"/>
      <w:adjustRightInd w:val="0"/>
      <w:jc w:val="left"/>
    </w:pPr>
    <w:rPr>
      <w:rFonts w:ascii="宋体" w:eastAsia="宋体"/>
      <w:kern w:val="0"/>
      <w:sz w:val="24"/>
      <w:szCs w:val="24"/>
    </w:rPr>
  </w:style>
  <w:style w:type="paragraph" w:styleId="a9">
    <w:name w:val="List Paragraph"/>
    <w:basedOn w:val="a"/>
    <w:uiPriority w:val="34"/>
    <w:qFormat/>
    <w:rsid w:val="000228C0"/>
    <w:pPr>
      <w:ind w:firstLineChars="200" w:firstLine="420"/>
    </w:pPr>
  </w:style>
  <w:style w:type="paragraph" w:customStyle="1" w:styleId="CM1">
    <w:name w:val="CM1"/>
    <w:basedOn w:val="a"/>
    <w:next w:val="a"/>
    <w:uiPriority w:val="99"/>
    <w:qFormat/>
    <w:rsid w:val="000228C0"/>
    <w:pPr>
      <w:autoSpaceDE w:val="0"/>
      <w:autoSpaceDN w:val="0"/>
      <w:adjustRightInd w:val="0"/>
      <w:spacing w:line="468" w:lineRule="atLeast"/>
      <w:jc w:val="left"/>
    </w:pPr>
    <w:rPr>
      <w:rFonts w:ascii="宋体" w:eastAsia="宋体"/>
      <w:kern w:val="0"/>
      <w:sz w:val="24"/>
      <w:szCs w:val="24"/>
    </w:rPr>
  </w:style>
  <w:style w:type="paragraph" w:customStyle="1" w:styleId="Default">
    <w:name w:val="Default"/>
    <w:qFormat/>
    <w:rsid w:val="000228C0"/>
    <w:pPr>
      <w:widowControl w:val="0"/>
      <w:autoSpaceDE w:val="0"/>
      <w:autoSpaceDN w:val="0"/>
      <w:adjustRightInd w:val="0"/>
    </w:pPr>
    <w:rPr>
      <w:rFonts w:ascii="宋体" w:hAnsiTheme="minorHAnsi" w:cs="宋体"/>
      <w:color w:val="000000"/>
      <w:sz w:val="24"/>
      <w:szCs w:val="24"/>
    </w:rPr>
  </w:style>
  <w:style w:type="paragraph" w:customStyle="1" w:styleId="CM2">
    <w:name w:val="CM2"/>
    <w:basedOn w:val="Default"/>
    <w:next w:val="Default"/>
    <w:uiPriority w:val="99"/>
    <w:qFormat/>
    <w:rsid w:val="000228C0"/>
    <w:pPr>
      <w:spacing w:line="468" w:lineRule="atLeast"/>
    </w:pPr>
    <w:rPr>
      <w:rFonts w:cstheme="minorBidi"/>
      <w:color w:val="auto"/>
    </w:rPr>
  </w:style>
  <w:style w:type="paragraph" w:customStyle="1" w:styleId="CM3">
    <w:name w:val="CM3"/>
    <w:basedOn w:val="Default"/>
    <w:next w:val="Default"/>
    <w:uiPriority w:val="99"/>
    <w:qFormat/>
    <w:rsid w:val="000228C0"/>
    <w:rPr>
      <w:rFonts w:cstheme="minorBidi"/>
      <w:color w:val="auto"/>
    </w:rPr>
  </w:style>
  <w:style w:type="paragraph" w:customStyle="1" w:styleId="CM4">
    <w:name w:val="CM4"/>
    <w:basedOn w:val="Default"/>
    <w:next w:val="Default"/>
    <w:uiPriority w:val="99"/>
    <w:qFormat/>
    <w:rsid w:val="000228C0"/>
    <w:pPr>
      <w:spacing w:line="468" w:lineRule="atLeast"/>
    </w:pPr>
    <w:rPr>
      <w:rFonts w:cstheme="minorBidi"/>
      <w:color w:val="auto"/>
    </w:rPr>
  </w:style>
  <w:style w:type="character" w:customStyle="1" w:styleId="Char">
    <w:name w:val="批注文字 Char"/>
    <w:basedOn w:val="a0"/>
    <w:link w:val="a3"/>
    <w:uiPriority w:val="99"/>
    <w:semiHidden/>
    <w:qFormat/>
    <w:rsid w:val="000228C0"/>
  </w:style>
  <w:style w:type="character" w:customStyle="1" w:styleId="Char3">
    <w:name w:val="批注主题 Char"/>
    <w:basedOn w:val="Char"/>
    <w:link w:val="a7"/>
    <w:uiPriority w:val="99"/>
    <w:semiHidden/>
    <w:qFormat/>
    <w:rsid w:val="000228C0"/>
    <w:rPr>
      <w:b/>
      <w:bCs/>
    </w:rPr>
  </w:style>
  <w:style w:type="character" w:customStyle="1" w:styleId="Char0">
    <w:name w:val="批注框文本 Char"/>
    <w:basedOn w:val="a0"/>
    <w:link w:val="a4"/>
    <w:uiPriority w:val="99"/>
    <w:semiHidden/>
    <w:qFormat/>
    <w:rsid w:val="000228C0"/>
    <w:rPr>
      <w:sz w:val="18"/>
      <w:szCs w:val="18"/>
    </w:rPr>
  </w:style>
  <w:style w:type="character" w:customStyle="1" w:styleId="font31">
    <w:name w:val="font31"/>
    <w:basedOn w:val="a0"/>
    <w:qFormat/>
    <w:rsid w:val="000228C0"/>
    <w:rPr>
      <w:rFonts w:ascii="宋体" w:eastAsia="宋体" w:hAnsi="宋体" w:cs="宋体" w:hint="eastAsia"/>
      <w:color w:val="000000"/>
      <w:sz w:val="20"/>
      <w:szCs w:val="20"/>
      <w:u w:val="none"/>
    </w:rPr>
  </w:style>
  <w:style w:type="character" w:styleId="aa">
    <w:name w:val="Hyperlink"/>
    <w:basedOn w:val="a0"/>
    <w:uiPriority w:val="99"/>
    <w:semiHidden/>
    <w:unhideWhenUsed/>
    <w:rsid w:val="00EE3E9D"/>
    <w:rPr>
      <w:color w:val="0563C1"/>
      <w:u w:val="single"/>
    </w:rPr>
  </w:style>
  <w:style w:type="paragraph" w:styleId="ab">
    <w:name w:val="Revision"/>
    <w:hidden/>
    <w:uiPriority w:val="99"/>
    <w:semiHidden/>
    <w:rsid w:val="00E2724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77779173">
      <w:bodyDiv w:val="1"/>
      <w:marLeft w:val="0"/>
      <w:marRight w:val="0"/>
      <w:marTop w:val="0"/>
      <w:marBottom w:val="0"/>
      <w:divBdr>
        <w:top w:val="none" w:sz="0" w:space="0" w:color="auto"/>
        <w:left w:val="none" w:sz="0" w:space="0" w:color="auto"/>
        <w:bottom w:val="none" w:sz="0" w:space="0" w:color="auto"/>
        <w:right w:val="none" w:sz="0" w:space="0" w:color="auto"/>
      </w:divBdr>
    </w:div>
    <w:div w:id="1018190359">
      <w:bodyDiv w:val="1"/>
      <w:marLeft w:val="0"/>
      <w:marRight w:val="0"/>
      <w:marTop w:val="0"/>
      <w:marBottom w:val="0"/>
      <w:divBdr>
        <w:top w:val="none" w:sz="0" w:space="0" w:color="auto"/>
        <w:left w:val="none" w:sz="0" w:space="0" w:color="auto"/>
        <w:bottom w:val="none" w:sz="0" w:space="0" w:color="auto"/>
        <w:right w:val="none" w:sz="0" w:space="0" w:color="auto"/>
      </w:divBdr>
    </w:div>
    <w:div w:id="1042242169">
      <w:bodyDiv w:val="1"/>
      <w:marLeft w:val="0"/>
      <w:marRight w:val="0"/>
      <w:marTop w:val="0"/>
      <w:marBottom w:val="0"/>
      <w:divBdr>
        <w:top w:val="none" w:sz="0" w:space="0" w:color="auto"/>
        <w:left w:val="none" w:sz="0" w:space="0" w:color="auto"/>
        <w:bottom w:val="none" w:sz="0" w:space="0" w:color="auto"/>
        <w:right w:val="none" w:sz="0" w:space="0" w:color="auto"/>
      </w:divBdr>
    </w:div>
    <w:div w:id="1649440039">
      <w:bodyDiv w:val="1"/>
      <w:marLeft w:val="0"/>
      <w:marRight w:val="0"/>
      <w:marTop w:val="0"/>
      <w:marBottom w:val="0"/>
      <w:divBdr>
        <w:top w:val="none" w:sz="0" w:space="0" w:color="auto"/>
        <w:left w:val="none" w:sz="0" w:space="0" w:color="auto"/>
        <w:bottom w:val="none" w:sz="0" w:space="0" w:color="auto"/>
        <w:right w:val="none" w:sz="0" w:space="0" w:color="auto"/>
      </w:divBdr>
    </w:div>
    <w:div w:id="2002348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70F8E-91E8-4BB3-B63F-6ECBF20B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1035</Characters>
  <Application>Microsoft Office Word</Application>
  <DocSecurity>4</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任禾佳</dc:creator>
  <cp:lastModifiedBy>ZHONGM</cp:lastModifiedBy>
  <cp:revision>2</cp:revision>
  <dcterms:created xsi:type="dcterms:W3CDTF">2023-02-19T16:00:00Z</dcterms:created>
  <dcterms:modified xsi:type="dcterms:W3CDTF">2023-02-19T16:00:00Z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E8A351E8D7B444B1BB3EFCCC6CB16DC8</vt:lpwstr>
  </property>
</Properties>
</file>