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Default="005559C4" w:rsidP="00B85DD2">
      <w:pPr>
        <w:pStyle w:val="a7"/>
        <w:spacing w:before="0" w:beforeAutospacing="0" w:after="0" w:afterAutospacing="0" w:line="360" w:lineRule="auto"/>
        <w:jc w:val="center"/>
        <w:rPr>
          <w:b/>
          <w:bCs/>
          <w:sz w:val="28"/>
        </w:rPr>
      </w:pPr>
      <w:r>
        <w:rPr>
          <w:rFonts w:hint="eastAsia"/>
          <w:b/>
          <w:bCs/>
          <w:sz w:val="28"/>
        </w:rPr>
        <w:t>金鹰基金管理有限公司</w:t>
      </w:r>
      <w:r w:rsidRPr="005559C4">
        <w:rPr>
          <w:rFonts w:hint="eastAsia"/>
          <w:b/>
          <w:bCs/>
          <w:sz w:val="28"/>
        </w:rPr>
        <w:t>旗下部分基金新增</w:t>
      </w:r>
      <w:r w:rsidR="00E24206">
        <w:rPr>
          <w:rFonts w:hint="eastAsia"/>
          <w:b/>
          <w:bCs/>
          <w:sz w:val="28"/>
        </w:rPr>
        <w:t>兴业证券股份有限公司</w:t>
      </w:r>
      <w:r>
        <w:rPr>
          <w:rFonts w:hint="eastAsia"/>
          <w:b/>
          <w:bCs/>
          <w:sz w:val="28"/>
        </w:rPr>
        <w:t>为</w:t>
      </w:r>
      <w:r w:rsidR="003E1122">
        <w:rPr>
          <w:rFonts w:hint="eastAsia"/>
          <w:b/>
          <w:bCs/>
          <w:sz w:val="28"/>
        </w:rPr>
        <w:t>代销机构并开通基金转换、基金定投业务及费率优惠的公</w:t>
      </w:r>
      <w:r w:rsidR="00B85DD2" w:rsidRPr="00B85DD2">
        <w:rPr>
          <w:rFonts w:hint="eastAsia"/>
          <w:b/>
          <w:bCs/>
          <w:sz w:val="28"/>
        </w:rPr>
        <w:t>告</w:t>
      </w:r>
    </w:p>
    <w:p w:rsidR="00B85DD2" w:rsidRPr="003E1122" w:rsidRDefault="00B85DD2" w:rsidP="00DC079C">
      <w:pPr>
        <w:pStyle w:val="a7"/>
        <w:spacing w:before="0" w:beforeAutospacing="0" w:after="0" w:afterAutospacing="0" w:line="360" w:lineRule="auto"/>
        <w:ind w:left="843" w:hangingChars="300" w:hanging="843"/>
        <w:jc w:val="both"/>
        <w:rPr>
          <w:b/>
          <w:bCs/>
          <w:sz w:val="28"/>
        </w:rPr>
      </w:pP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9877A4">
        <w:rPr>
          <w:rFonts w:cs="Calibri" w:hint="eastAsia"/>
        </w:rPr>
        <w:t>为了更好地满足广大投资者的理财需求，根据金鹰基金管理有限公司（以下简称“</w:t>
      </w:r>
      <w:r w:rsidR="00786DAF">
        <w:rPr>
          <w:rFonts w:cs="Calibri" w:hint="eastAsia"/>
        </w:rPr>
        <w:t>本基金管理人</w:t>
      </w:r>
      <w:r w:rsidRPr="009877A4">
        <w:rPr>
          <w:rFonts w:cs="Calibri" w:hint="eastAsia"/>
        </w:rPr>
        <w:t>”）与</w:t>
      </w:r>
      <w:r w:rsidR="00E24206">
        <w:rPr>
          <w:rFonts w:hint="eastAsia"/>
        </w:rPr>
        <w:t>兴业证券股份有限公司</w:t>
      </w:r>
      <w:r w:rsidR="001649FF" w:rsidRPr="001649FF">
        <w:rPr>
          <w:rFonts w:hint="eastAsia"/>
        </w:rPr>
        <w:t>（以下简称“</w:t>
      </w:r>
      <w:r w:rsidR="00E24206">
        <w:rPr>
          <w:rFonts w:hint="eastAsia"/>
        </w:rPr>
        <w:t>兴业证券</w:t>
      </w:r>
      <w:r w:rsidR="001649FF" w:rsidRPr="001649FF">
        <w:rPr>
          <w:rFonts w:hint="eastAsia"/>
        </w:rPr>
        <w:t>”）</w:t>
      </w:r>
      <w:r w:rsidRPr="009877A4">
        <w:rPr>
          <w:rFonts w:cs="Calibri" w:hint="eastAsia"/>
        </w:rPr>
        <w:t>签订的</w:t>
      </w:r>
      <w:r w:rsidRPr="009877A4">
        <w:rPr>
          <w:rFonts w:asciiTheme="minorEastAsia" w:hAnsiTheme="minorEastAsia" w:cs="Calibri" w:hint="eastAsia"/>
        </w:rPr>
        <w:t>代理销售协议</w:t>
      </w:r>
      <w:r w:rsidRPr="009877A4">
        <w:rPr>
          <w:rFonts w:cs="Calibri" w:hint="eastAsia"/>
        </w:rPr>
        <w:t>，</w:t>
      </w:r>
      <w:r w:rsidR="00786DAF">
        <w:rPr>
          <w:rFonts w:cs="Calibri" w:hint="eastAsia"/>
        </w:rPr>
        <w:t>本基金管理人</w:t>
      </w:r>
      <w:r w:rsidRPr="009877A4">
        <w:rPr>
          <w:rFonts w:cs="Calibri" w:hint="eastAsia"/>
        </w:rPr>
        <w:t>决定自</w:t>
      </w:r>
      <w:r w:rsidR="00163302">
        <w:rPr>
          <w:rFonts w:cs="Calibri" w:hint="eastAsia"/>
        </w:rPr>
        <w:t>202</w:t>
      </w:r>
      <w:r w:rsidR="00E24206">
        <w:rPr>
          <w:rFonts w:cs="Calibri"/>
        </w:rPr>
        <w:t>3</w:t>
      </w:r>
      <w:r w:rsidRPr="009877A4">
        <w:rPr>
          <w:rFonts w:cs="Calibri" w:hint="eastAsia"/>
        </w:rPr>
        <w:t>年</w:t>
      </w:r>
      <w:r w:rsidR="00E24206">
        <w:rPr>
          <w:rFonts w:cs="Calibri"/>
        </w:rPr>
        <w:t>2</w:t>
      </w:r>
      <w:r w:rsidRPr="009877A4">
        <w:rPr>
          <w:rFonts w:cs="Calibri" w:hint="eastAsia"/>
        </w:rPr>
        <w:t>月</w:t>
      </w:r>
      <w:r w:rsidR="00E24206">
        <w:rPr>
          <w:rFonts w:cs="Calibri"/>
        </w:rPr>
        <w:t>16</w:t>
      </w:r>
      <w:r w:rsidRPr="009877A4">
        <w:rPr>
          <w:rFonts w:cs="Calibri" w:hint="eastAsia"/>
        </w:rPr>
        <w:t>日起</w:t>
      </w:r>
      <w:r w:rsidRPr="009877A4">
        <w:rPr>
          <w:rFonts w:asciiTheme="minorEastAsia" w:hAnsiTheme="minorEastAsia" w:cs="Calibri" w:hint="eastAsia"/>
        </w:rPr>
        <w:t>，</w:t>
      </w:r>
      <w:r w:rsidR="007E2426">
        <w:rPr>
          <w:rFonts w:asciiTheme="minorEastAsia" w:hAnsiTheme="minorEastAsia" w:cs="Calibri" w:hint="eastAsia"/>
        </w:rPr>
        <w:t>通过</w:t>
      </w:r>
      <w:r w:rsidR="00E24206">
        <w:rPr>
          <w:rFonts w:asciiTheme="minorEastAsia" w:hAnsiTheme="minorEastAsia" w:cs="Calibri" w:hint="eastAsia"/>
        </w:rPr>
        <w:t>兴业证券</w:t>
      </w:r>
      <w:r w:rsidR="00447446" w:rsidRPr="00447446">
        <w:rPr>
          <w:rFonts w:asciiTheme="minorEastAsia" w:hAnsiTheme="minorEastAsia" w:cs="Calibri" w:hint="eastAsia"/>
        </w:rPr>
        <w:t>代理销售</w:t>
      </w:r>
      <w:r w:rsidR="00786DAF">
        <w:rPr>
          <w:rFonts w:asciiTheme="minorEastAsia" w:hAnsiTheme="minorEastAsia" w:cs="Calibri" w:hint="eastAsia"/>
        </w:rPr>
        <w:t>本基金管理人</w:t>
      </w:r>
      <w:r w:rsidR="00447446" w:rsidRPr="00447446">
        <w:rPr>
          <w:rFonts w:asciiTheme="minorEastAsia" w:hAnsiTheme="minorEastAsia" w:cs="Calibri" w:hint="eastAsia"/>
        </w:rPr>
        <w:t>旗下部分基金</w:t>
      </w:r>
      <w:r w:rsidRPr="009877A4">
        <w:rPr>
          <w:rFonts w:hint="eastAsia"/>
          <w:shd w:val="clear" w:color="auto" w:fill="FFFFFF"/>
        </w:rPr>
        <w:t>，</w:t>
      </w:r>
      <w:r w:rsidR="007E2426">
        <w:rPr>
          <w:rFonts w:asciiTheme="minorEastAsia" w:eastAsiaTheme="minorEastAsia" w:hAnsiTheme="minorEastAsia" w:cstheme="minorEastAsia" w:hint="eastAsia"/>
          <w:color w:val="000000" w:themeColor="text1"/>
        </w:rPr>
        <w:t>并开通基金转换、</w:t>
      </w:r>
      <w:r w:rsidR="0070267D" w:rsidRPr="00AF76F6">
        <w:rPr>
          <w:rFonts w:asciiTheme="minorEastAsia" w:eastAsiaTheme="minorEastAsia" w:hAnsiTheme="minorEastAsia" w:cstheme="minorEastAsia" w:hint="eastAsia"/>
          <w:color w:val="000000" w:themeColor="text1"/>
        </w:rPr>
        <w:t>基金定期定额投资（以下简称“基金定投”）</w:t>
      </w:r>
      <w:r w:rsidR="007E2426">
        <w:rPr>
          <w:rFonts w:asciiTheme="minorEastAsia" w:eastAsiaTheme="minorEastAsia" w:hAnsiTheme="minorEastAsia" w:cstheme="minorEastAsia" w:hint="eastAsia"/>
          <w:color w:val="000000" w:themeColor="text1"/>
        </w:rPr>
        <w:t>业务及费率优惠</w:t>
      </w:r>
      <w:r w:rsidR="007E2426">
        <w:rPr>
          <w:rFonts w:hint="eastAsia"/>
          <w:shd w:val="clear" w:color="auto" w:fill="FFFFFF"/>
        </w:rPr>
        <w:t>，</w:t>
      </w:r>
      <w:r w:rsidRPr="009877A4">
        <w:rPr>
          <w:rFonts w:hint="eastAsia"/>
          <w:shd w:val="clear" w:color="auto" w:fill="FFFFFF"/>
        </w:rPr>
        <w:t>具体公告如下：</w:t>
      </w:r>
    </w:p>
    <w:p w:rsidR="00A00AAF" w:rsidRPr="00966CB6"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9877A4"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一、新增代销基金</w:t>
      </w:r>
    </w:p>
    <w:tbl>
      <w:tblPr>
        <w:tblStyle w:val="a9"/>
        <w:tblW w:w="0" w:type="auto"/>
        <w:tblLook w:val="04A0"/>
      </w:tblPr>
      <w:tblGrid>
        <w:gridCol w:w="1526"/>
        <w:gridCol w:w="6662"/>
      </w:tblGrid>
      <w:tr w:rsidR="00CA62D2" w:rsidRPr="004636F5" w:rsidTr="0090126B">
        <w:trPr>
          <w:trHeight w:val="492"/>
        </w:trPr>
        <w:tc>
          <w:tcPr>
            <w:tcW w:w="1526" w:type="dxa"/>
            <w:noWrap/>
            <w:hideMark/>
          </w:tcPr>
          <w:p w:rsidR="00CA62D2" w:rsidRPr="004636F5" w:rsidRDefault="00CA62D2" w:rsidP="0090126B">
            <w:pPr>
              <w:pStyle w:val="a7"/>
              <w:spacing w:line="360" w:lineRule="auto"/>
              <w:ind w:firstLineChars="100" w:firstLine="241"/>
              <w:jc w:val="both"/>
              <w:rPr>
                <w:rFonts w:asciiTheme="minorEastAsia" w:hAnsiTheme="minorEastAsia" w:cstheme="minorEastAsia"/>
                <w:b/>
                <w:bCs/>
                <w:color w:val="000000" w:themeColor="text1"/>
              </w:rPr>
            </w:pPr>
            <w:r w:rsidRPr="004636F5">
              <w:rPr>
                <w:rFonts w:asciiTheme="minorEastAsia" w:hAnsiTheme="minorEastAsia" w:cstheme="minorEastAsia" w:hint="eastAsia"/>
                <w:b/>
                <w:bCs/>
                <w:color w:val="000000" w:themeColor="text1"/>
              </w:rPr>
              <w:t>基金代码</w:t>
            </w:r>
          </w:p>
        </w:tc>
        <w:tc>
          <w:tcPr>
            <w:tcW w:w="6662" w:type="dxa"/>
            <w:noWrap/>
            <w:hideMark/>
          </w:tcPr>
          <w:p w:rsidR="00CA62D2" w:rsidRPr="004636F5" w:rsidRDefault="00CA62D2" w:rsidP="0090126B">
            <w:pPr>
              <w:pStyle w:val="a7"/>
              <w:spacing w:line="360" w:lineRule="auto"/>
              <w:ind w:firstLineChars="900" w:firstLine="2168"/>
              <w:jc w:val="both"/>
              <w:rPr>
                <w:rFonts w:asciiTheme="minorEastAsia" w:hAnsiTheme="minorEastAsia" w:cstheme="minorEastAsia"/>
                <w:b/>
                <w:bCs/>
                <w:color w:val="000000" w:themeColor="text1"/>
              </w:rPr>
            </w:pPr>
            <w:r>
              <w:rPr>
                <w:rFonts w:asciiTheme="minorEastAsia" w:hAnsiTheme="minorEastAsia" w:cstheme="minorEastAsia" w:hint="eastAsia"/>
                <w:b/>
                <w:bCs/>
                <w:color w:val="000000" w:themeColor="text1"/>
              </w:rPr>
              <w:t>产品</w:t>
            </w:r>
            <w:r w:rsidRPr="004636F5">
              <w:rPr>
                <w:rFonts w:asciiTheme="minorEastAsia" w:hAnsiTheme="minorEastAsia" w:cstheme="minorEastAsia" w:hint="eastAsia"/>
                <w:b/>
                <w:bCs/>
                <w:color w:val="000000" w:themeColor="text1"/>
              </w:rPr>
              <w:t>名称</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210008</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金鹰策略配置混合型证券投资基金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012541</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金鹰产业升级混合型证券投资基金A类份额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012542</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金鹰产业升级混合型证券投资基金C类份额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001366</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金鹰产业整合灵活配置混合型证券投资基金A类份额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162105</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金鹰持久增利债券型证券投资基金（LOF）C类份额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004267</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金鹰持久增利债券型证券投资基金（LOF）E类份额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001951</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金鹰改革红利灵活配置混合型证券投资基金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210009</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金鹰核心资源混合型证券投资基金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210007</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金鹰技术领先灵活配置混合型证券投资基金A类份额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002196</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金鹰技术领先灵活配置混合型证券投资基金C类份额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001167</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金鹰科技创新股票型证券投资基金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210010</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金鹰灵活配置混合型证券投资基金A类份额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210011</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金鹰灵活配置混合型证券投资基金C类份额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006972</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金鹰民安回报一年定期开放混合型证券投资基金A类份额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007735</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金鹰民安回报一年定期开放混合型证券投资基金C类份额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004265</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金鹰民丰回报定期开放混合型证券投资基金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004657</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金鹰民富收益混合型证券投资基金A类份额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lastRenderedPageBreak/>
              <w:t>004658</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金鹰民富收益混合型证券投资基金C类份额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001298</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金鹰民族新兴灵活配置混合型证券投资基金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009968</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金鹰内需成长混合型证券投资基金A类份额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009969</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金鹰内需成长混合型证券投资基金C类份额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011351</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金鹰年年邮益一年持有期混合型证券投资基金A类份额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011352</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金鹰年年邮益一年持有期混合型证券投资基金C类份额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005010</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金鹰添瑞中短债债券型证券投资基金A类份额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005011</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金鹰添瑞中短债债券型证券投资基金C类份额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006389</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金鹰添祥中短债债券型证券投资基金A类份额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006390</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金鹰添祥中短债债券型证券投资基金C类份额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003163</w:t>
            </w:r>
          </w:p>
        </w:tc>
        <w:tc>
          <w:tcPr>
            <w:tcW w:w="6662" w:type="dxa"/>
            <w:noWrap/>
            <w:vAlign w:val="center"/>
          </w:tcPr>
          <w:p w:rsidR="00254E38" w:rsidRPr="004D44C3" w:rsidRDefault="00254E38" w:rsidP="00254E38">
            <w:pPr>
              <w:pStyle w:val="a7"/>
              <w:spacing w:line="360" w:lineRule="auto"/>
              <w:ind w:firstLine="420"/>
              <w:rPr>
                <w:color w:val="000000"/>
              </w:rPr>
            </w:pPr>
            <w:r w:rsidRPr="004D44C3">
              <w:rPr>
                <w:rFonts w:hint="eastAsia"/>
                <w:color w:val="000000"/>
              </w:rPr>
              <w:t>金鹰添益3个月定期开放债券型证券投资基金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003384</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金鹰添盈纯债债券型证券投资基金A类份额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012623</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金鹰添盈纯债债券型证券投资基金C类份额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004372</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金鹰现金增益交易型货币市场基金A类份额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004373</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金鹰现金增益交易型货币市场基金B类份额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011260</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金鹰新能源混合型证券投资基金A类份额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011261</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金鹰新能源混合型证券投资基金C类份额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003502</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金鹰鑫瑞灵活配置混合型证券投资基金A类份额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003503</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金鹰鑫瑞灵活配置混合型证券投资基金C类份额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003484</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金鹰鑫益灵活配置混合型证券投资基金A类份额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003485</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金鹰鑫益灵活配置混合型证券投资基金C类份额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003853</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金鹰信息产业股票型证券投资基金A类份额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005885</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金鹰信息产业股票型证券投资基金C类份额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004040</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金鹰医疗健康产业股票型证券投资基金A类份额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004041</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金鹰医疗健康产业股票型证券投资基金C类份额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210014</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金鹰元丰债券型证券投资基金A类份额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014336</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金鹰元丰债券型证券投资基金C类份额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002490</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金鹰元祺信用债债券型证券投资基金</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t>210006</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金鹰元禧混合型证券投资基金A类份额</w:t>
            </w:r>
          </w:p>
        </w:tc>
      </w:tr>
      <w:tr w:rsidR="00254E38" w:rsidRPr="004636F5" w:rsidTr="00E1030D">
        <w:trPr>
          <w:trHeight w:val="330"/>
        </w:trPr>
        <w:tc>
          <w:tcPr>
            <w:tcW w:w="1526" w:type="dxa"/>
            <w:noWrap/>
            <w:vAlign w:val="center"/>
          </w:tcPr>
          <w:p w:rsidR="00254E38" w:rsidRDefault="00254E38" w:rsidP="00254E38">
            <w:pPr>
              <w:pStyle w:val="a7"/>
              <w:spacing w:line="360" w:lineRule="auto"/>
              <w:ind w:firstLine="420"/>
              <w:rPr>
                <w:color w:val="000000"/>
              </w:rPr>
            </w:pPr>
            <w:r>
              <w:rPr>
                <w:rFonts w:hint="eastAsia"/>
                <w:color w:val="000000"/>
              </w:rPr>
              <w:lastRenderedPageBreak/>
              <w:t>002425</w:t>
            </w:r>
          </w:p>
        </w:tc>
        <w:tc>
          <w:tcPr>
            <w:tcW w:w="6662" w:type="dxa"/>
            <w:noWrap/>
            <w:vAlign w:val="center"/>
          </w:tcPr>
          <w:p w:rsidR="00254E38" w:rsidRDefault="00254E38" w:rsidP="00254E38">
            <w:pPr>
              <w:pStyle w:val="a7"/>
              <w:spacing w:line="360" w:lineRule="auto"/>
              <w:ind w:firstLine="420"/>
              <w:rPr>
                <w:color w:val="000000"/>
              </w:rPr>
            </w:pPr>
            <w:r>
              <w:rPr>
                <w:rFonts w:hint="eastAsia"/>
                <w:color w:val="000000"/>
              </w:rPr>
              <w:t>金鹰元禧混合型证券投资基金C类份额</w:t>
            </w:r>
          </w:p>
        </w:tc>
      </w:tr>
    </w:tbl>
    <w:p w:rsidR="00A00AAF" w:rsidRPr="009877A4" w:rsidRDefault="00A00AAF" w:rsidP="009974A3">
      <w:pPr>
        <w:pStyle w:val="Default"/>
        <w:snapToGrid w:val="0"/>
        <w:spacing w:line="360" w:lineRule="auto"/>
        <w:ind w:firstLineChars="200" w:firstLine="480"/>
        <w:jc w:val="both"/>
        <w:rPr>
          <w:rFonts w:ascii="宋体" w:eastAsia="宋体" w:hAnsi="宋体" w:cs="Calibri"/>
          <w:color w:val="auto"/>
        </w:rPr>
      </w:pPr>
    </w:p>
    <w:p w:rsidR="0004705D"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二、</w:t>
      </w:r>
      <w:r w:rsidR="00AF76F6" w:rsidRPr="00AF76F6">
        <w:rPr>
          <w:rFonts w:asciiTheme="minorEastAsia" w:eastAsiaTheme="minorEastAsia" w:hAnsiTheme="minorEastAsia" w:cstheme="minorEastAsia" w:hint="eastAsia"/>
          <w:color w:val="000000" w:themeColor="text1"/>
        </w:rPr>
        <w:t>投资者可在</w:t>
      </w:r>
      <w:r w:rsidR="00E24206">
        <w:rPr>
          <w:rFonts w:asciiTheme="minorEastAsia" w:eastAsiaTheme="minorEastAsia" w:hAnsiTheme="minorEastAsia" w:cstheme="minorEastAsia" w:hint="eastAsia"/>
          <w:color w:val="000000" w:themeColor="text1"/>
        </w:rPr>
        <w:t>兴业证券</w:t>
      </w:r>
      <w:r w:rsidR="00AF76F6" w:rsidRPr="00AF76F6">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r>
        <w:rPr>
          <w:rFonts w:asciiTheme="minorEastAsia" w:hAnsiTheme="minorEastAsia" w:cstheme="minorEastAsia" w:hint="eastAsia"/>
          <w:color w:val="000000" w:themeColor="text1"/>
        </w:rPr>
        <w:t>。</w:t>
      </w:r>
    </w:p>
    <w:p w:rsidR="002C772D" w:rsidRPr="002C772D"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三、重要提示</w:t>
      </w:r>
    </w:p>
    <w:p w:rsidR="0064145D" w:rsidRPr="00381BF5" w:rsidRDefault="0064145D"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目前，金鹰民安回报一年定期开放混合型证券投资基金A/C类份额、金鹰民丰回报定期开放混合型证券投资基金、</w:t>
      </w:r>
      <w:r w:rsidR="00DD490C" w:rsidRPr="00381BF5">
        <w:rPr>
          <w:rFonts w:ascii="宋体" w:eastAsia="宋体" w:hAnsi="宋体" w:cs="宋体" w:hint="eastAsia"/>
          <w:color w:val="000000"/>
          <w:kern w:val="0"/>
          <w:sz w:val="24"/>
          <w:szCs w:val="24"/>
        </w:rPr>
        <w:t>金鹰添益3个月定期开放债券型证券投资基金</w:t>
      </w:r>
      <w:r w:rsidRPr="00381BF5">
        <w:rPr>
          <w:rFonts w:ascii="宋体" w:eastAsia="宋体" w:hAnsi="宋体" w:cs="宋体" w:hint="eastAsia"/>
          <w:color w:val="000000"/>
          <w:kern w:val="0"/>
          <w:sz w:val="24"/>
          <w:szCs w:val="24"/>
        </w:rPr>
        <w:t>仍处于封闭期，暂不开放申购、赎回、转换等业务，开放申购、赎回、转换等业务的时间另行公告。</w:t>
      </w:r>
    </w:p>
    <w:p w:rsidR="00381BF5" w:rsidRPr="00381BF5" w:rsidRDefault="00381BF5"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投资者在赎回（含转换转出）金鹰民族新兴灵活配置混合型证券投资基金份额时，本基金管理人将对每笔基金份额年化收益率超过5%的部分，按15%的比例计提附加管理费，有关附加管理费收取原则与计提方法的约定详见《基金合同》或《招募说明书》。</w:t>
      </w:r>
    </w:p>
    <w:p w:rsidR="008B2268" w:rsidRPr="00381BF5" w:rsidRDefault="00F91F27"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28120E" w:rsidRPr="00381BF5" w:rsidRDefault="0028120E"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转换不适用基金：对于本基金管理人后端收费模式基金以及中登系统基金不支持与其他基金之间相互转换；</w:t>
      </w:r>
      <w:r w:rsidR="004A623E" w:rsidRPr="00381BF5">
        <w:rPr>
          <w:rFonts w:ascii="宋体" w:eastAsia="宋体" w:hAnsi="宋体" w:cs="宋体" w:hint="eastAsia"/>
          <w:color w:val="000000"/>
          <w:kern w:val="0"/>
          <w:sz w:val="24"/>
          <w:szCs w:val="24"/>
        </w:rPr>
        <w:t>对于F</w:t>
      </w:r>
      <w:r w:rsidR="004A623E" w:rsidRPr="00381BF5">
        <w:rPr>
          <w:rFonts w:ascii="宋体" w:eastAsia="宋体" w:hAnsi="宋体" w:cs="宋体"/>
          <w:color w:val="000000"/>
          <w:kern w:val="0"/>
          <w:sz w:val="24"/>
          <w:szCs w:val="24"/>
        </w:rPr>
        <w:t>OF</w:t>
      </w:r>
      <w:r w:rsidR="004A623E" w:rsidRPr="00381BF5">
        <w:rPr>
          <w:rFonts w:ascii="宋体" w:eastAsia="宋体" w:hAnsi="宋体" w:cs="宋体" w:hint="eastAsia"/>
          <w:color w:val="000000"/>
          <w:kern w:val="0"/>
          <w:sz w:val="24"/>
          <w:szCs w:val="24"/>
        </w:rPr>
        <w:t>基金产品不支持与其他非F</w:t>
      </w:r>
      <w:r w:rsidR="004A623E" w:rsidRPr="00381BF5">
        <w:rPr>
          <w:rFonts w:ascii="宋体" w:eastAsia="宋体" w:hAnsi="宋体" w:cs="宋体"/>
          <w:color w:val="000000"/>
          <w:kern w:val="0"/>
          <w:sz w:val="24"/>
          <w:szCs w:val="24"/>
        </w:rPr>
        <w:t>OF</w:t>
      </w:r>
      <w:r w:rsidR="004A623E" w:rsidRPr="00381BF5">
        <w:rPr>
          <w:rFonts w:ascii="宋体" w:eastAsia="宋体" w:hAnsi="宋体" w:cs="宋体" w:hint="eastAsia"/>
          <w:color w:val="000000"/>
          <w:kern w:val="0"/>
          <w:sz w:val="24"/>
          <w:szCs w:val="24"/>
        </w:rPr>
        <w:t>基金产品之间互相转换；</w:t>
      </w:r>
      <w:r w:rsidRPr="00381BF5">
        <w:rPr>
          <w:rFonts w:ascii="宋体" w:eastAsia="宋体" w:hAnsi="宋体" w:cs="宋体" w:hint="eastAsia"/>
          <w:color w:val="000000"/>
          <w:kern w:val="0"/>
          <w:sz w:val="24"/>
          <w:szCs w:val="24"/>
        </w:rPr>
        <w:t>对于同一只基金不同份额之间不支持相互转换。</w:t>
      </w:r>
    </w:p>
    <w:p w:rsidR="0028120E" w:rsidRPr="00381BF5" w:rsidRDefault="000E4382"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本基金管理人旗下基金</w:t>
      </w:r>
      <w:r w:rsidR="00A736D4" w:rsidRPr="00381BF5">
        <w:rPr>
          <w:rFonts w:ascii="宋体" w:eastAsia="宋体" w:hAnsi="宋体" w:cs="宋体" w:hint="eastAsia"/>
          <w:color w:val="000000"/>
          <w:kern w:val="0"/>
          <w:sz w:val="24"/>
          <w:szCs w:val="24"/>
        </w:rPr>
        <w:t>在</w:t>
      </w:r>
      <w:r w:rsidR="00E24206" w:rsidRPr="00381BF5">
        <w:rPr>
          <w:rFonts w:ascii="宋体" w:eastAsia="宋体" w:hAnsi="宋体" w:cs="宋体" w:hint="eastAsia"/>
          <w:color w:val="000000"/>
          <w:kern w:val="0"/>
          <w:sz w:val="24"/>
          <w:szCs w:val="24"/>
        </w:rPr>
        <w:t>兴业证券</w:t>
      </w:r>
      <w:r w:rsidR="00A736D4" w:rsidRPr="00381BF5">
        <w:rPr>
          <w:rFonts w:ascii="宋体" w:eastAsia="宋体" w:hAnsi="宋体" w:cs="宋体" w:hint="eastAsia"/>
          <w:color w:val="000000"/>
          <w:kern w:val="0"/>
          <w:sz w:val="24"/>
          <w:szCs w:val="24"/>
        </w:rPr>
        <w:t>的申购、定投费率折扣最低不低于1折，</w:t>
      </w:r>
      <w:r w:rsidR="00E24206" w:rsidRPr="00381BF5">
        <w:rPr>
          <w:rFonts w:ascii="宋体" w:eastAsia="宋体" w:hAnsi="宋体" w:cs="宋体" w:hint="eastAsia"/>
          <w:color w:val="000000"/>
          <w:kern w:val="0"/>
          <w:sz w:val="24"/>
          <w:szCs w:val="24"/>
        </w:rPr>
        <w:t>兴业证券</w:t>
      </w:r>
      <w:r w:rsidRPr="00381BF5">
        <w:rPr>
          <w:rFonts w:ascii="宋体" w:eastAsia="宋体" w:hAnsi="宋体" w:cs="宋体" w:hint="eastAsia"/>
          <w:color w:val="000000"/>
          <w:kern w:val="0"/>
          <w:sz w:val="24"/>
          <w:szCs w:val="24"/>
        </w:rPr>
        <w:t>在此基础上实施的费率优惠活动本基金管理人不再进行限制，</w:t>
      </w:r>
      <w:r w:rsidR="0028120E" w:rsidRPr="00381BF5">
        <w:rPr>
          <w:rFonts w:ascii="宋体" w:eastAsia="宋体" w:hAnsi="宋体" w:cs="宋体" w:hint="eastAsia"/>
          <w:color w:val="000000"/>
          <w:kern w:val="0"/>
          <w:sz w:val="24"/>
          <w:szCs w:val="24"/>
        </w:rPr>
        <w:t>投资者通过</w:t>
      </w:r>
      <w:r w:rsidR="00E24206" w:rsidRPr="00381BF5">
        <w:rPr>
          <w:rFonts w:ascii="宋体" w:eastAsia="宋体" w:hAnsi="宋体" w:cs="宋体" w:hint="eastAsia"/>
          <w:color w:val="000000"/>
          <w:kern w:val="0"/>
          <w:sz w:val="24"/>
          <w:szCs w:val="24"/>
        </w:rPr>
        <w:t>兴业证券</w:t>
      </w:r>
      <w:r w:rsidR="0028120E" w:rsidRPr="00381BF5">
        <w:rPr>
          <w:rFonts w:ascii="宋体" w:eastAsia="宋体" w:hAnsi="宋体" w:cs="宋体" w:hint="eastAsia"/>
          <w:color w:val="000000"/>
          <w:kern w:val="0"/>
          <w:sz w:val="24"/>
          <w:szCs w:val="24"/>
        </w:rPr>
        <w:t>申购、定投本基金管理人旗下适用基金（仅限前端收费模式），其申购、定投费率以</w:t>
      </w:r>
      <w:r w:rsidR="00E24206" w:rsidRPr="00381BF5">
        <w:rPr>
          <w:rFonts w:ascii="宋体" w:eastAsia="宋体" w:hAnsi="宋体" w:cs="宋体" w:hint="eastAsia"/>
          <w:color w:val="000000"/>
          <w:kern w:val="0"/>
          <w:sz w:val="24"/>
          <w:szCs w:val="24"/>
        </w:rPr>
        <w:t>兴业证券</w:t>
      </w:r>
      <w:r w:rsidR="0028120E" w:rsidRPr="00381BF5">
        <w:rPr>
          <w:rFonts w:ascii="宋体" w:eastAsia="宋体" w:hAnsi="宋体" w:cs="宋体" w:hint="eastAsia"/>
          <w:color w:val="000000"/>
          <w:kern w:val="0"/>
          <w:sz w:val="24"/>
          <w:szCs w:val="24"/>
        </w:rPr>
        <w:t>公布的费率优惠活动为准。优惠前申购费率为固定费用的，则按原费率执行，不再享有费率折扣。</w:t>
      </w:r>
    </w:p>
    <w:p w:rsidR="0028120E" w:rsidRPr="00381BF5" w:rsidRDefault="0028120E"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本基金管理人其他基金如新增</w:t>
      </w:r>
      <w:r w:rsidR="00E24206" w:rsidRPr="00381BF5">
        <w:rPr>
          <w:rFonts w:ascii="宋体" w:eastAsia="宋体" w:hAnsi="宋体" w:cs="宋体" w:hint="eastAsia"/>
          <w:color w:val="000000"/>
          <w:kern w:val="0"/>
          <w:sz w:val="24"/>
          <w:szCs w:val="24"/>
        </w:rPr>
        <w:t>兴业证券</w:t>
      </w:r>
      <w:r w:rsidRPr="00381BF5">
        <w:rPr>
          <w:rFonts w:ascii="宋体" w:eastAsia="宋体" w:hAnsi="宋体" w:cs="宋体" w:hint="eastAsia"/>
          <w:color w:val="000000"/>
          <w:kern w:val="0"/>
          <w:sz w:val="24"/>
          <w:szCs w:val="24"/>
        </w:rPr>
        <w:t>为代销机构，将同时开通基金转换、基金定投及费率优惠，我司不再另行公告。</w:t>
      </w:r>
    </w:p>
    <w:p w:rsidR="0028120E" w:rsidRPr="00DB229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9877A4"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四</w:t>
      </w:r>
      <w:r w:rsidR="009877A4" w:rsidRPr="009877A4">
        <w:rPr>
          <w:rFonts w:cs="Calibri" w:hint="eastAsia"/>
        </w:rPr>
        <w:t>、投资者可以通过以下方式咨询</w:t>
      </w:r>
    </w:p>
    <w:p w:rsidR="001649FF" w:rsidRPr="001649FF" w:rsidRDefault="0043164F" w:rsidP="004749DC">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rPr>
        <w:t>1</w:t>
      </w:r>
      <w:r w:rsidR="00B732A2">
        <w:rPr>
          <w:rFonts w:cs="Calibri" w:hint="eastAsia"/>
        </w:rPr>
        <w:t>、</w:t>
      </w:r>
      <w:bookmarkStart w:id="0" w:name="_Hlk103066948"/>
      <w:r w:rsidR="001649FF" w:rsidRPr="001649FF">
        <w:rPr>
          <w:rFonts w:cs="Calibri" w:hint="eastAsia"/>
        </w:rPr>
        <w:t>名称：</w:t>
      </w:r>
      <w:r w:rsidR="00E24206">
        <w:rPr>
          <w:rFonts w:cs="Calibri" w:hint="eastAsia"/>
        </w:rPr>
        <w:t>兴业证券</w:t>
      </w:r>
    </w:p>
    <w:bookmarkEnd w:id="0"/>
    <w:p w:rsidR="00E24206" w:rsidRPr="00E24206" w:rsidRDefault="00E24206" w:rsidP="00E24206">
      <w:pPr>
        <w:pStyle w:val="a7"/>
        <w:shd w:val="clear" w:color="auto" w:fill="FFFFFF"/>
        <w:adjustRightInd w:val="0"/>
        <w:snapToGrid w:val="0"/>
        <w:spacing w:before="0" w:beforeAutospacing="0" w:after="0" w:afterAutospacing="0" w:line="360" w:lineRule="auto"/>
        <w:ind w:firstLine="420"/>
        <w:jc w:val="both"/>
        <w:rPr>
          <w:rFonts w:cs="Calibri"/>
        </w:rPr>
      </w:pPr>
      <w:r w:rsidRPr="00E24206">
        <w:rPr>
          <w:rFonts w:cs="Calibri" w:hint="eastAsia"/>
        </w:rPr>
        <w:t>客服电话：95562</w:t>
      </w:r>
    </w:p>
    <w:p w:rsidR="008C37EF" w:rsidRPr="008C37EF" w:rsidRDefault="00E24206" w:rsidP="00E24206">
      <w:pPr>
        <w:pStyle w:val="a7"/>
        <w:shd w:val="clear" w:color="auto" w:fill="FFFFFF"/>
        <w:adjustRightInd w:val="0"/>
        <w:snapToGrid w:val="0"/>
        <w:spacing w:before="0" w:beforeAutospacing="0" w:after="0" w:afterAutospacing="0" w:line="360" w:lineRule="auto"/>
        <w:ind w:firstLine="420"/>
        <w:jc w:val="both"/>
        <w:rPr>
          <w:rFonts w:cs="Calibri"/>
        </w:rPr>
      </w:pPr>
      <w:r w:rsidRPr="00E24206">
        <w:rPr>
          <w:rFonts w:cs="Calibri" w:hint="eastAsia"/>
        </w:rPr>
        <w:t>网址：www.xyzq.com.cn</w:t>
      </w:r>
    </w:p>
    <w:p w:rsidR="00A00AAF" w:rsidRPr="009877A4" w:rsidRDefault="004749DC" w:rsidP="008B661B">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rPr>
        <w:t>2</w:t>
      </w:r>
      <w:r w:rsidR="00AE676A">
        <w:rPr>
          <w:rFonts w:cs="Calibri" w:hint="eastAsia"/>
        </w:rPr>
        <w:t>、</w:t>
      </w:r>
      <w:r w:rsidR="00786DAF">
        <w:rPr>
          <w:rFonts w:cs="Calibri" w:hint="eastAsia"/>
        </w:rPr>
        <w:t>本基金管理人</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客服电话：</w:t>
      </w:r>
      <w:r w:rsidR="00F31BC6">
        <w:rPr>
          <w:rFonts w:cs="Calibri" w:hint="eastAsia"/>
        </w:rPr>
        <w:t>4006-</w:t>
      </w:r>
      <w:r w:rsidRPr="009877A4">
        <w:rPr>
          <w:rFonts w:cs="Calibri" w:hint="eastAsia"/>
        </w:rPr>
        <w:t>135-888</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网址：www.gefund.com.cn</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BC635C" w:rsidRDefault="00E7053C" w:rsidP="00BC635C">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987CED">
        <w:rPr>
          <w:rFonts w:asciiTheme="minorEastAsia" w:eastAsiaTheme="minorEastAsia" w:hAnsiTheme="minorEastAsia" w:cstheme="minorEastAsia" w:hint="eastAsia"/>
          <w:color w:val="000000" w:themeColor="text1"/>
        </w:rPr>
        <w:t>风险提示：本基金管理人承诺以诚实信用、勤勉尽责的原则管理和运用基金资产。</w:t>
      </w:r>
      <w:r w:rsidR="001227CB" w:rsidRPr="003C16C8">
        <w:rPr>
          <w:rFonts w:asciiTheme="minorEastAsia" w:eastAsiaTheme="minorEastAsia" w:hAnsiTheme="minorEastAsia" w:cstheme="minorEastAsia"/>
          <w:color w:val="000000" w:themeColor="text1"/>
        </w:rPr>
        <w:t>投资者购买货币市场基金并不等于将资金作为存款存放在银行或存款类金融机构，</w:t>
      </w:r>
      <w:r w:rsidR="004B7F7B" w:rsidRPr="004B7F7B">
        <w:rPr>
          <w:rFonts w:asciiTheme="minorEastAsia" w:eastAsiaTheme="minorEastAsia" w:hAnsiTheme="minorEastAsia" w:cstheme="minorEastAsia" w:hint="eastAsia"/>
          <w:color w:val="000000" w:themeColor="text1"/>
        </w:rPr>
        <w:t>本基金管理人不保证基金一定盈利，也不保证最低收益。</w:t>
      </w:r>
      <w:r w:rsidRPr="00987CED">
        <w:rPr>
          <w:rFonts w:asciiTheme="minorEastAsia" w:eastAsiaTheme="minorEastAsia" w:hAnsiTheme="minorEastAsia" w:cstheme="minorEastAsia" w:hint="eastAsia"/>
          <w:color w:val="000000" w:themeColor="text1"/>
        </w:rPr>
        <w:t>中国证监会对基金募集的注册</w:t>
      </w:r>
      <w:r w:rsidR="007424F2">
        <w:rPr>
          <w:rFonts w:asciiTheme="minorEastAsia" w:eastAsiaTheme="minorEastAsia" w:hAnsiTheme="minorEastAsia" w:cstheme="minorEastAsia" w:hint="eastAsia"/>
          <w:color w:val="000000" w:themeColor="text1"/>
        </w:rPr>
        <w:t>或核准</w:t>
      </w:r>
      <w:r w:rsidRPr="00987CED">
        <w:rPr>
          <w:rFonts w:asciiTheme="minorEastAsia" w:eastAsiaTheme="minorEastAsia" w:hAnsiTheme="minorEastAsia" w:cstheme="minorEastAsia" w:hint="eastAsia"/>
          <w:color w:val="000000" w:themeColor="text1"/>
        </w:rPr>
        <w:t>，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w:t>
      </w:r>
      <w:r>
        <w:rPr>
          <w:rFonts w:cs="Calibri" w:hint="eastAsia"/>
        </w:rPr>
        <w:t>《基金</w:t>
      </w:r>
      <w:r w:rsidRPr="00BC7D60">
        <w:rPr>
          <w:rFonts w:cs="Calibri" w:hint="eastAsia"/>
        </w:rPr>
        <w:t>产品资料概要</w:t>
      </w:r>
      <w:r>
        <w:rPr>
          <w:rFonts w:cs="Calibri" w:hint="eastAsia"/>
        </w:rPr>
        <w:t>》</w:t>
      </w:r>
      <w:r w:rsidRPr="00987CED">
        <w:rPr>
          <w:rFonts w:asciiTheme="minorEastAsia" w:eastAsiaTheme="minorEastAsia" w:hAnsiTheme="minorEastAsia" w:cstheme="minorEastAsia" w:hint="eastAsia"/>
          <w:color w:val="000000" w:themeColor="text1"/>
        </w:rPr>
        <w:t>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4A47C9" w:rsidRPr="002325E7" w:rsidRDefault="009877A4" w:rsidP="002325E7">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9877A4">
        <w:rPr>
          <w:rFonts w:cs="Calibri" w:hint="eastAsia"/>
        </w:rPr>
        <w:t>特此公告。</w:t>
      </w:r>
    </w:p>
    <w:p w:rsidR="00A00AAF" w:rsidRPr="009877A4"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9877A4">
        <w:rPr>
          <w:rFonts w:cs="Calibri" w:hint="eastAsia"/>
        </w:rPr>
        <w:t>金鹰基金管理有限公司</w:t>
      </w:r>
    </w:p>
    <w:p w:rsidR="00A00AAF" w:rsidRPr="009877A4" w:rsidRDefault="005E5033" w:rsidP="00F73AF8">
      <w:pPr>
        <w:pStyle w:val="a7"/>
        <w:shd w:val="clear" w:color="auto" w:fill="FFFFFF"/>
        <w:adjustRightInd w:val="0"/>
        <w:snapToGrid w:val="0"/>
        <w:spacing w:before="0" w:beforeAutospacing="0" w:after="0" w:afterAutospacing="0" w:line="360" w:lineRule="auto"/>
        <w:ind w:firstLine="420"/>
        <w:jc w:val="right"/>
        <w:rPr>
          <w:rFonts w:cs="Calibri"/>
        </w:rPr>
      </w:pPr>
      <w:r>
        <w:rPr>
          <w:rFonts w:cs="Calibri" w:hint="eastAsia"/>
        </w:rPr>
        <w:t>202</w:t>
      </w:r>
      <w:r w:rsidR="00E24206">
        <w:rPr>
          <w:rFonts w:cs="Calibri"/>
        </w:rPr>
        <w:t>3</w:t>
      </w:r>
      <w:r w:rsidR="009877A4" w:rsidRPr="009877A4">
        <w:rPr>
          <w:rFonts w:cs="Calibri" w:hint="eastAsia"/>
        </w:rPr>
        <w:t>年</w:t>
      </w:r>
      <w:r w:rsidR="00E24206">
        <w:rPr>
          <w:rFonts w:cs="Calibri"/>
        </w:rPr>
        <w:t>2</w:t>
      </w:r>
      <w:r w:rsidR="009877A4" w:rsidRPr="009877A4">
        <w:rPr>
          <w:rFonts w:cs="Calibri" w:hint="eastAsia"/>
        </w:rPr>
        <w:t>月</w:t>
      </w:r>
      <w:r w:rsidR="00E24206">
        <w:rPr>
          <w:rFonts w:cs="Calibri"/>
        </w:rPr>
        <w:t>16</w:t>
      </w:r>
      <w:r w:rsidR="009877A4" w:rsidRPr="009877A4">
        <w:rPr>
          <w:rFonts w:cs="Calibri" w:hint="eastAsia"/>
        </w:rPr>
        <w:t>日</w:t>
      </w:r>
    </w:p>
    <w:sectPr w:rsidR="00A00AAF" w:rsidRPr="009877A4" w:rsidSect="002445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F0" w:rsidRDefault="00FF6BF0" w:rsidP="00E3201D">
      <w:r>
        <w:separator/>
      </w:r>
    </w:p>
  </w:endnote>
  <w:endnote w:type="continuationSeparator" w:id="0">
    <w:p w:rsidR="00FF6BF0" w:rsidRDefault="00FF6BF0"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F0" w:rsidRDefault="00FF6BF0" w:rsidP="00E3201D">
      <w:r>
        <w:separator/>
      </w:r>
    </w:p>
  </w:footnote>
  <w:footnote w:type="continuationSeparator" w:id="0">
    <w:p w:rsidR="00FF6BF0" w:rsidRDefault="00FF6BF0"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abstractNum w:abstractNumId="1">
    <w:nsid w:val="02B87DA2"/>
    <w:multiLevelType w:val="hybridMultilevel"/>
    <w:tmpl w:val="7F4ACACA"/>
    <w:lvl w:ilvl="0" w:tplc="A4BC3C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EE29B8"/>
    <w:multiLevelType w:val="hybridMultilevel"/>
    <w:tmpl w:val="53F0AC3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6B1902"/>
    <w:multiLevelType w:val="hybridMultilevel"/>
    <w:tmpl w:val="3AB6A23C"/>
    <w:lvl w:ilvl="0" w:tplc="89D8CE7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C1A"/>
    <w:rsid w:val="00005907"/>
    <w:rsid w:val="0004705D"/>
    <w:rsid w:val="0007207A"/>
    <w:rsid w:val="000737EE"/>
    <w:rsid w:val="00073CB6"/>
    <w:rsid w:val="00074C97"/>
    <w:rsid w:val="0007668C"/>
    <w:rsid w:val="000A2E60"/>
    <w:rsid w:val="000B1AB2"/>
    <w:rsid w:val="000B4004"/>
    <w:rsid w:val="000C3EFC"/>
    <w:rsid w:val="000D170F"/>
    <w:rsid w:val="000D57CB"/>
    <w:rsid w:val="000E10B7"/>
    <w:rsid w:val="000E4382"/>
    <w:rsid w:val="000E7D3C"/>
    <w:rsid w:val="001039C4"/>
    <w:rsid w:val="00112143"/>
    <w:rsid w:val="00112272"/>
    <w:rsid w:val="001227CB"/>
    <w:rsid w:val="00126069"/>
    <w:rsid w:val="00142F9B"/>
    <w:rsid w:val="00156402"/>
    <w:rsid w:val="00163302"/>
    <w:rsid w:val="001649FF"/>
    <w:rsid w:val="00172A27"/>
    <w:rsid w:val="00175014"/>
    <w:rsid w:val="00175158"/>
    <w:rsid w:val="001840F6"/>
    <w:rsid w:val="0018431F"/>
    <w:rsid w:val="00186B2C"/>
    <w:rsid w:val="00196156"/>
    <w:rsid w:val="001B433C"/>
    <w:rsid w:val="001C22C6"/>
    <w:rsid w:val="001D0BCE"/>
    <w:rsid w:val="001F1F5F"/>
    <w:rsid w:val="002000F3"/>
    <w:rsid w:val="0020181A"/>
    <w:rsid w:val="00204212"/>
    <w:rsid w:val="002173DE"/>
    <w:rsid w:val="002325E7"/>
    <w:rsid w:val="00244540"/>
    <w:rsid w:val="00254E38"/>
    <w:rsid w:val="00261309"/>
    <w:rsid w:val="00261D1C"/>
    <w:rsid w:val="00264FAF"/>
    <w:rsid w:val="00266540"/>
    <w:rsid w:val="0026767D"/>
    <w:rsid w:val="00272E72"/>
    <w:rsid w:val="0028120E"/>
    <w:rsid w:val="00293ED1"/>
    <w:rsid w:val="002A228B"/>
    <w:rsid w:val="002B1024"/>
    <w:rsid w:val="002B1557"/>
    <w:rsid w:val="002B3132"/>
    <w:rsid w:val="002B4142"/>
    <w:rsid w:val="002B6B49"/>
    <w:rsid w:val="002C28DF"/>
    <w:rsid w:val="002C547F"/>
    <w:rsid w:val="002C5740"/>
    <w:rsid w:val="002C63BA"/>
    <w:rsid w:val="002C772D"/>
    <w:rsid w:val="002C77C0"/>
    <w:rsid w:val="002D1334"/>
    <w:rsid w:val="002F487F"/>
    <w:rsid w:val="00317240"/>
    <w:rsid w:val="00336D66"/>
    <w:rsid w:val="00340720"/>
    <w:rsid w:val="0034379E"/>
    <w:rsid w:val="0034626E"/>
    <w:rsid w:val="00347AA1"/>
    <w:rsid w:val="00347FF3"/>
    <w:rsid w:val="00364825"/>
    <w:rsid w:val="003679E9"/>
    <w:rsid w:val="00372758"/>
    <w:rsid w:val="00381BF5"/>
    <w:rsid w:val="0038280C"/>
    <w:rsid w:val="00390CB1"/>
    <w:rsid w:val="003C16C8"/>
    <w:rsid w:val="003C4285"/>
    <w:rsid w:val="003C7AEC"/>
    <w:rsid w:val="003D2696"/>
    <w:rsid w:val="003D3C4C"/>
    <w:rsid w:val="003E1122"/>
    <w:rsid w:val="003E168F"/>
    <w:rsid w:val="003F276E"/>
    <w:rsid w:val="003F28F1"/>
    <w:rsid w:val="00410862"/>
    <w:rsid w:val="00420793"/>
    <w:rsid w:val="0043030D"/>
    <w:rsid w:val="0043164F"/>
    <w:rsid w:val="0043356C"/>
    <w:rsid w:val="00445F84"/>
    <w:rsid w:val="00447446"/>
    <w:rsid w:val="00447DA9"/>
    <w:rsid w:val="004511C4"/>
    <w:rsid w:val="00453E39"/>
    <w:rsid w:val="0047010C"/>
    <w:rsid w:val="004749DC"/>
    <w:rsid w:val="004840C8"/>
    <w:rsid w:val="004944A3"/>
    <w:rsid w:val="004A0E27"/>
    <w:rsid w:val="004A1B5A"/>
    <w:rsid w:val="004A47C9"/>
    <w:rsid w:val="004A623E"/>
    <w:rsid w:val="004B1512"/>
    <w:rsid w:val="004B637E"/>
    <w:rsid w:val="004B7B90"/>
    <w:rsid w:val="004B7F7B"/>
    <w:rsid w:val="004C26F2"/>
    <w:rsid w:val="004C5102"/>
    <w:rsid w:val="004D0845"/>
    <w:rsid w:val="004D44C3"/>
    <w:rsid w:val="004E2142"/>
    <w:rsid w:val="004E32AC"/>
    <w:rsid w:val="00500661"/>
    <w:rsid w:val="00504054"/>
    <w:rsid w:val="00506924"/>
    <w:rsid w:val="00522178"/>
    <w:rsid w:val="00527800"/>
    <w:rsid w:val="00534398"/>
    <w:rsid w:val="00540620"/>
    <w:rsid w:val="0055048C"/>
    <w:rsid w:val="005559C4"/>
    <w:rsid w:val="00566D76"/>
    <w:rsid w:val="005670F1"/>
    <w:rsid w:val="005706A4"/>
    <w:rsid w:val="0059003D"/>
    <w:rsid w:val="005973D4"/>
    <w:rsid w:val="005A54A0"/>
    <w:rsid w:val="005B7934"/>
    <w:rsid w:val="005D11D6"/>
    <w:rsid w:val="005D60C5"/>
    <w:rsid w:val="005E5033"/>
    <w:rsid w:val="005F0540"/>
    <w:rsid w:val="00616259"/>
    <w:rsid w:val="00627EE6"/>
    <w:rsid w:val="00631BBC"/>
    <w:rsid w:val="00636821"/>
    <w:rsid w:val="0064145D"/>
    <w:rsid w:val="006434F1"/>
    <w:rsid w:val="00646793"/>
    <w:rsid w:val="00652855"/>
    <w:rsid w:val="006554A2"/>
    <w:rsid w:val="00665EFB"/>
    <w:rsid w:val="00680493"/>
    <w:rsid w:val="0068527C"/>
    <w:rsid w:val="00691BF4"/>
    <w:rsid w:val="006928B4"/>
    <w:rsid w:val="006A7C2A"/>
    <w:rsid w:val="006D717C"/>
    <w:rsid w:val="006E09F8"/>
    <w:rsid w:val="0070267D"/>
    <w:rsid w:val="00715B38"/>
    <w:rsid w:val="0072741B"/>
    <w:rsid w:val="007424F2"/>
    <w:rsid w:val="00743A13"/>
    <w:rsid w:val="0075619B"/>
    <w:rsid w:val="00762114"/>
    <w:rsid w:val="00765105"/>
    <w:rsid w:val="00767674"/>
    <w:rsid w:val="00785D6B"/>
    <w:rsid w:val="00786DAF"/>
    <w:rsid w:val="0079226C"/>
    <w:rsid w:val="007B26E1"/>
    <w:rsid w:val="007C2C25"/>
    <w:rsid w:val="007C4602"/>
    <w:rsid w:val="007D46A7"/>
    <w:rsid w:val="007E2426"/>
    <w:rsid w:val="007E46F3"/>
    <w:rsid w:val="007E60E0"/>
    <w:rsid w:val="007F166F"/>
    <w:rsid w:val="007F2A78"/>
    <w:rsid w:val="007F31CD"/>
    <w:rsid w:val="007F42E4"/>
    <w:rsid w:val="0082536C"/>
    <w:rsid w:val="00826A09"/>
    <w:rsid w:val="0082716F"/>
    <w:rsid w:val="0085092B"/>
    <w:rsid w:val="008512B8"/>
    <w:rsid w:val="00860205"/>
    <w:rsid w:val="00860E1D"/>
    <w:rsid w:val="00864CDD"/>
    <w:rsid w:val="0086678E"/>
    <w:rsid w:val="008769F5"/>
    <w:rsid w:val="0088224E"/>
    <w:rsid w:val="00882A09"/>
    <w:rsid w:val="008852A2"/>
    <w:rsid w:val="008919C0"/>
    <w:rsid w:val="0089327A"/>
    <w:rsid w:val="00896208"/>
    <w:rsid w:val="008A01A0"/>
    <w:rsid w:val="008A27AD"/>
    <w:rsid w:val="008A29CE"/>
    <w:rsid w:val="008B0A9C"/>
    <w:rsid w:val="008B2268"/>
    <w:rsid w:val="008B2C05"/>
    <w:rsid w:val="008B661B"/>
    <w:rsid w:val="008B7C7A"/>
    <w:rsid w:val="008C37EF"/>
    <w:rsid w:val="008E563D"/>
    <w:rsid w:val="008E589A"/>
    <w:rsid w:val="008E5982"/>
    <w:rsid w:val="008F5130"/>
    <w:rsid w:val="008F5F44"/>
    <w:rsid w:val="00901838"/>
    <w:rsid w:val="00916226"/>
    <w:rsid w:val="00941216"/>
    <w:rsid w:val="00941FC5"/>
    <w:rsid w:val="00953E06"/>
    <w:rsid w:val="0096184E"/>
    <w:rsid w:val="009633B5"/>
    <w:rsid w:val="00965497"/>
    <w:rsid w:val="00966CB6"/>
    <w:rsid w:val="009877A4"/>
    <w:rsid w:val="009972B7"/>
    <w:rsid w:val="009974A3"/>
    <w:rsid w:val="009B7508"/>
    <w:rsid w:val="009D5A96"/>
    <w:rsid w:val="009E60D2"/>
    <w:rsid w:val="009F38CE"/>
    <w:rsid w:val="009F4BA4"/>
    <w:rsid w:val="00A00AAF"/>
    <w:rsid w:val="00A0278D"/>
    <w:rsid w:val="00A20E53"/>
    <w:rsid w:val="00A37545"/>
    <w:rsid w:val="00A46BE9"/>
    <w:rsid w:val="00A522B4"/>
    <w:rsid w:val="00A70844"/>
    <w:rsid w:val="00A70945"/>
    <w:rsid w:val="00A70B1F"/>
    <w:rsid w:val="00A736D4"/>
    <w:rsid w:val="00A81E34"/>
    <w:rsid w:val="00AA2F59"/>
    <w:rsid w:val="00AB545E"/>
    <w:rsid w:val="00AC21B1"/>
    <w:rsid w:val="00AC5AB4"/>
    <w:rsid w:val="00AD4BE8"/>
    <w:rsid w:val="00AD6E8D"/>
    <w:rsid w:val="00AE676A"/>
    <w:rsid w:val="00AF1A2D"/>
    <w:rsid w:val="00AF76F6"/>
    <w:rsid w:val="00B01D7F"/>
    <w:rsid w:val="00B0376B"/>
    <w:rsid w:val="00B0516D"/>
    <w:rsid w:val="00B0762D"/>
    <w:rsid w:val="00B336E6"/>
    <w:rsid w:val="00B355C0"/>
    <w:rsid w:val="00B424A3"/>
    <w:rsid w:val="00B632AB"/>
    <w:rsid w:val="00B679FB"/>
    <w:rsid w:val="00B732A2"/>
    <w:rsid w:val="00B80061"/>
    <w:rsid w:val="00B85563"/>
    <w:rsid w:val="00B85DD2"/>
    <w:rsid w:val="00B975FE"/>
    <w:rsid w:val="00BA5803"/>
    <w:rsid w:val="00BB0D06"/>
    <w:rsid w:val="00BB1D9C"/>
    <w:rsid w:val="00BB477F"/>
    <w:rsid w:val="00BB5BDE"/>
    <w:rsid w:val="00BC2167"/>
    <w:rsid w:val="00BC38F5"/>
    <w:rsid w:val="00BC5516"/>
    <w:rsid w:val="00BC560B"/>
    <w:rsid w:val="00BC635C"/>
    <w:rsid w:val="00BC7D60"/>
    <w:rsid w:val="00BD01CC"/>
    <w:rsid w:val="00BD052E"/>
    <w:rsid w:val="00BD79FE"/>
    <w:rsid w:val="00BE1FB8"/>
    <w:rsid w:val="00BF6A07"/>
    <w:rsid w:val="00C01290"/>
    <w:rsid w:val="00C06005"/>
    <w:rsid w:val="00C22AA4"/>
    <w:rsid w:val="00C267AE"/>
    <w:rsid w:val="00C27637"/>
    <w:rsid w:val="00C31A70"/>
    <w:rsid w:val="00C40AB2"/>
    <w:rsid w:val="00C51529"/>
    <w:rsid w:val="00C51E6A"/>
    <w:rsid w:val="00C52FB1"/>
    <w:rsid w:val="00C5608E"/>
    <w:rsid w:val="00C873A7"/>
    <w:rsid w:val="00CA1413"/>
    <w:rsid w:val="00CA2869"/>
    <w:rsid w:val="00CA36CF"/>
    <w:rsid w:val="00CA3B8C"/>
    <w:rsid w:val="00CA62D2"/>
    <w:rsid w:val="00CA73E7"/>
    <w:rsid w:val="00CC1477"/>
    <w:rsid w:val="00CD2771"/>
    <w:rsid w:val="00CD57F0"/>
    <w:rsid w:val="00CE0062"/>
    <w:rsid w:val="00CE422D"/>
    <w:rsid w:val="00CE7422"/>
    <w:rsid w:val="00D155D0"/>
    <w:rsid w:val="00D414D8"/>
    <w:rsid w:val="00D61B38"/>
    <w:rsid w:val="00D61C64"/>
    <w:rsid w:val="00D81E13"/>
    <w:rsid w:val="00D84E7D"/>
    <w:rsid w:val="00D861DB"/>
    <w:rsid w:val="00D90F6C"/>
    <w:rsid w:val="00D961F6"/>
    <w:rsid w:val="00DA199C"/>
    <w:rsid w:val="00DA5245"/>
    <w:rsid w:val="00DB229B"/>
    <w:rsid w:val="00DB3A6F"/>
    <w:rsid w:val="00DB40C6"/>
    <w:rsid w:val="00DC079C"/>
    <w:rsid w:val="00DC4CB3"/>
    <w:rsid w:val="00DC5262"/>
    <w:rsid w:val="00DC65C3"/>
    <w:rsid w:val="00DC7DCB"/>
    <w:rsid w:val="00DD24CD"/>
    <w:rsid w:val="00DD490C"/>
    <w:rsid w:val="00DD64A1"/>
    <w:rsid w:val="00DF7CC2"/>
    <w:rsid w:val="00E05462"/>
    <w:rsid w:val="00E13E9E"/>
    <w:rsid w:val="00E14296"/>
    <w:rsid w:val="00E22DBA"/>
    <w:rsid w:val="00E24206"/>
    <w:rsid w:val="00E26862"/>
    <w:rsid w:val="00E3201D"/>
    <w:rsid w:val="00E34D91"/>
    <w:rsid w:val="00E365D5"/>
    <w:rsid w:val="00E57911"/>
    <w:rsid w:val="00E7053C"/>
    <w:rsid w:val="00E723F9"/>
    <w:rsid w:val="00E7761D"/>
    <w:rsid w:val="00E778B5"/>
    <w:rsid w:val="00E806F1"/>
    <w:rsid w:val="00E87CD2"/>
    <w:rsid w:val="00EA1F68"/>
    <w:rsid w:val="00EA60E4"/>
    <w:rsid w:val="00EA695E"/>
    <w:rsid w:val="00EA73A1"/>
    <w:rsid w:val="00EA7DD1"/>
    <w:rsid w:val="00EB0CE1"/>
    <w:rsid w:val="00EB5EB9"/>
    <w:rsid w:val="00EC5621"/>
    <w:rsid w:val="00EC64A9"/>
    <w:rsid w:val="00ED037C"/>
    <w:rsid w:val="00EE68E6"/>
    <w:rsid w:val="00EF7F4C"/>
    <w:rsid w:val="00F061A9"/>
    <w:rsid w:val="00F14BCF"/>
    <w:rsid w:val="00F173E8"/>
    <w:rsid w:val="00F23E9A"/>
    <w:rsid w:val="00F31BC6"/>
    <w:rsid w:val="00F45CFC"/>
    <w:rsid w:val="00F53580"/>
    <w:rsid w:val="00F539D4"/>
    <w:rsid w:val="00F5530B"/>
    <w:rsid w:val="00F55EE7"/>
    <w:rsid w:val="00F56187"/>
    <w:rsid w:val="00F624D8"/>
    <w:rsid w:val="00F64C75"/>
    <w:rsid w:val="00F73AF8"/>
    <w:rsid w:val="00F8346B"/>
    <w:rsid w:val="00F84A25"/>
    <w:rsid w:val="00F91F27"/>
    <w:rsid w:val="00F92C9B"/>
    <w:rsid w:val="00F96044"/>
    <w:rsid w:val="00FA3C34"/>
    <w:rsid w:val="00FA6DEF"/>
    <w:rsid w:val="00FB0430"/>
    <w:rsid w:val="00FC0836"/>
    <w:rsid w:val="00FC2FE4"/>
    <w:rsid w:val="00FE15E6"/>
    <w:rsid w:val="00FE3862"/>
    <w:rsid w:val="00FE5787"/>
    <w:rsid w:val="00FF5FB5"/>
    <w:rsid w:val="00FF6BF0"/>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40"/>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24454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44540"/>
    <w:pPr>
      <w:jc w:val="left"/>
    </w:pPr>
  </w:style>
  <w:style w:type="paragraph" w:styleId="a4">
    <w:name w:val="Balloon Text"/>
    <w:basedOn w:val="a"/>
    <w:link w:val="Char0"/>
    <w:uiPriority w:val="99"/>
    <w:semiHidden/>
    <w:unhideWhenUsed/>
    <w:qFormat/>
    <w:rsid w:val="00244540"/>
    <w:rPr>
      <w:sz w:val="18"/>
      <w:szCs w:val="18"/>
    </w:rPr>
  </w:style>
  <w:style w:type="paragraph" w:styleId="a5">
    <w:name w:val="footer"/>
    <w:basedOn w:val="a"/>
    <w:link w:val="Char1"/>
    <w:uiPriority w:val="99"/>
    <w:unhideWhenUsed/>
    <w:qFormat/>
    <w:rsid w:val="0024454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4454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44540"/>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44540"/>
    <w:rPr>
      <w:b/>
      <w:bCs/>
    </w:rPr>
  </w:style>
  <w:style w:type="table" w:styleId="a9">
    <w:name w:val="Table Grid"/>
    <w:basedOn w:val="a1"/>
    <w:uiPriority w:val="59"/>
    <w:qFormat/>
    <w:rsid w:val="00244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244540"/>
    <w:rPr>
      <w:color w:val="4C4C4C"/>
      <w:u w:val="none"/>
    </w:rPr>
  </w:style>
  <w:style w:type="character" w:styleId="ab">
    <w:name w:val="Emphasis"/>
    <w:basedOn w:val="a0"/>
    <w:uiPriority w:val="20"/>
    <w:qFormat/>
    <w:rsid w:val="00244540"/>
  </w:style>
  <w:style w:type="character" w:styleId="HTML">
    <w:name w:val="HTML Acronym"/>
    <w:basedOn w:val="a0"/>
    <w:uiPriority w:val="99"/>
    <w:semiHidden/>
    <w:unhideWhenUsed/>
    <w:qFormat/>
    <w:rsid w:val="00244540"/>
  </w:style>
  <w:style w:type="character" w:styleId="ac">
    <w:name w:val="Hyperlink"/>
    <w:basedOn w:val="a0"/>
    <w:uiPriority w:val="99"/>
    <w:unhideWhenUsed/>
    <w:qFormat/>
    <w:rsid w:val="00244540"/>
    <w:rPr>
      <w:color w:val="0000FF"/>
      <w:u w:val="single"/>
    </w:rPr>
  </w:style>
  <w:style w:type="character" w:styleId="ad">
    <w:name w:val="annotation reference"/>
    <w:basedOn w:val="a0"/>
    <w:uiPriority w:val="99"/>
    <w:semiHidden/>
    <w:unhideWhenUsed/>
    <w:qFormat/>
    <w:rsid w:val="00244540"/>
    <w:rPr>
      <w:sz w:val="21"/>
      <w:szCs w:val="21"/>
    </w:rPr>
  </w:style>
  <w:style w:type="character" w:customStyle="1" w:styleId="3Char">
    <w:name w:val="标题 3 Char"/>
    <w:basedOn w:val="a0"/>
    <w:link w:val="3"/>
    <w:uiPriority w:val="9"/>
    <w:qFormat/>
    <w:rsid w:val="00244540"/>
    <w:rPr>
      <w:rFonts w:ascii="宋体" w:eastAsia="宋体" w:hAnsi="宋体" w:cs="宋体"/>
      <w:b/>
      <w:bCs/>
      <w:kern w:val="0"/>
      <w:sz w:val="27"/>
      <w:szCs w:val="27"/>
    </w:rPr>
  </w:style>
  <w:style w:type="character" w:customStyle="1" w:styleId="span4">
    <w:name w:val="span4"/>
    <w:basedOn w:val="a0"/>
    <w:qFormat/>
    <w:rsid w:val="00244540"/>
  </w:style>
  <w:style w:type="character" w:customStyle="1" w:styleId="span01">
    <w:name w:val="span01"/>
    <w:basedOn w:val="a0"/>
    <w:qFormat/>
    <w:rsid w:val="00244540"/>
    <w:rPr>
      <w:sz w:val="24"/>
      <w:szCs w:val="24"/>
    </w:rPr>
  </w:style>
  <w:style w:type="character" w:customStyle="1" w:styleId="icon2">
    <w:name w:val="icon2"/>
    <w:basedOn w:val="a0"/>
    <w:qFormat/>
    <w:rsid w:val="00244540"/>
  </w:style>
  <w:style w:type="character" w:customStyle="1" w:styleId="fqrsyliswk">
    <w:name w:val="fqrsyl_iswk"/>
    <w:basedOn w:val="a0"/>
    <w:qFormat/>
    <w:rsid w:val="00244540"/>
  </w:style>
  <w:style w:type="character" w:customStyle="1" w:styleId="span03">
    <w:name w:val="span03"/>
    <w:basedOn w:val="a0"/>
    <w:qFormat/>
    <w:rsid w:val="00244540"/>
  </w:style>
  <w:style w:type="character" w:customStyle="1" w:styleId="span031">
    <w:name w:val="span031"/>
    <w:basedOn w:val="a0"/>
    <w:qFormat/>
    <w:rsid w:val="00244540"/>
  </w:style>
  <w:style w:type="character" w:customStyle="1" w:styleId="fmwfsyiswk">
    <w:name w:val="fmwfsy_iswk"/>
    <w:basedOn w:val="a0"/>
    <w:qFormat/>
    <w:rsid w:val="00244540"/>
  </w:style>
  <w:style w:type="character" w:customStyle="1" w:styleId="span1">
    <w:name w:val="span1"/>
    <w:basedOn w:val="a0"/>
    <w:qFormat/>
    <w:rsid w:val="00244540"/>
  </w:style>
  <w:style w:type="character" w:customStyle="1" w:styleId="span2">
    <w:name w:val="span2"/>
    <w:basedOn w:val="a0"/>
    <w:qFormat/>
    <w:rsid w:val="00244540"/>
  </w:style>
  <w:style w:type="character" w:customStyle="1" w:styleId="hover46">
    <w:name w:val="hover46"/>
    <w:basedOn w:val="a0"/>
    <w:qFormat/>
    <w:rsid w:val="00244540"/>
    <w:rPr>
      <w:shd w:val="clear" w:color="auto" w:fill="FEF2E7"/>
    </w:rPr>
  </w:style>
  <w:style w:type="character" w:customStyle="1" w:styleId="hover47">
    <w:name w:val="hover47"/>
    <w:basedOn w:val="a0"/>
    <w:qFormat/>
    <w:rsid w:val="00244540"/>
    <w:rPr>
      <w:color w:val="F88413"/>
    </w:rPr>
  </w:style>
  <w:style w:type="character" w:customStyle="1" w:styleId="span02">
    <w:name w:val="span02"/>
    <w:basedOn w:val="a0"/>
    <w:qFormat/>
    <w:rsid w:val="00244540"/>
    <w:rPr>
      <w:sz w:val="24"/>
      <w:szCs w:val="24"/>
    </w:rPr>
  </w:style>
  <w:style w:type="character" w:customStyle="1" w:styleId="span021">
    <w:name w:val="span021"/>
    <w:basedOn w:val="a0"/>
    <w:qFormat/>
    <w:rsid w:val="00244540"/>
  </w:style>
  <w:style w:type="character" w:customStyle="1" w:styleId="on26">
    <w:name w:val="on26"/>
    <w:basedOn w:val="a0"/>
    <w:qFormat/>
    <w:rsid w:val="00244540"/>
    <w:rPr>
      <w:color w:val="F88413"/>
    </w:rPr>
  </w:style>
  <w:style w:type="character" w:customStyle="1" w:styleId="on27">
    <w:name w:val="on27"/>
    <w:basedOn w:val="a0"/>
    <w:qFormat/>
    <w:rsid w:val="00244540"/>
  </w:style>
  <w:style w:type="character" w:customStyle="1" w:styleId="span3">
    <w:name w:val="span3"/>
    <w:basedOn w:val="a0"/>
    <w:qFormat/>
    <w:rsid w:val="00244540"/>
  </w:style>
  <w:style w:type="character" w:customStyle="1" w:styleId="span011">
    <w:name w:val="span011"/>
    <w:basedOn w:val="a0"/>
    <w:qFormat/>
    <w:rsid w:val="00244540"/>
  </w:style>
  <w:style w:type="character" w:customStyle="1" w:styleId="icon">
    <w:name w:val="icon"/>
    <w:basedOn w:val="a0"/>
    <w:qFormat/>
    <w:rsid w:val="00244540"/>
  </w:style>
  <w:style w:type="character" w:customStyle="1" w:styleId="hover44">
    <w:name w:val="hover44"/>
    <w:basedOn w:val="a0"/>
    <w:qFormat/>
    <w:rsid w:val="00244540"/>
    <w:rPr>
      <w:shd w:val="clear" w:color="auto" w:fill="FEF2E7"/>
    </w:rPr>
  </w:style>
  <w:style w:type="character" w:customStyle="1" w:styleId="hover45">
    <w:name w:val="hover45"/>
    <w:basedOn w:val="a0"/>
    <w:qFormat/>
    <w:rsid w:val="00244540"/>
    <w:rPr>
      <w:color w:val="F88413"/>
    </w:rPr>
  </w:style>
  <w:style w:type="character" w:customStyle="1" w:styleId="on">
    <w:name w:val="on"/>
    <w:basedOn w:val="a0"/>
    <w:qFormat/>
    <w:rsid w:val="00244540"/>
    <w:rPr>
      <w:color w:val="F88413"/>
    </w:rPr>
  </w:style>
  <w:style w:type="character" w:customStyle="1" w:styleId="on1">
    <w:name w:val="on1"/>
    <w:basedOn w:val="a0"/>
    <w:qFormat/>
    <w:rsid w:val="00244540"/>
  </w:style>
  <w:style w:type="character" w:customStyle="1" w:styleId="Char2">
    <w:name w:val="页眉 Char"/>
    <w:basedOn w:val="a0"/>
    <w:link w:val="a6"/>
    <w:uiPriority w:val="99"/>
    <w:qFormat/>
    <w:rsid w:val="00244540"/>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244540"/>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244540"/>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244540"/>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244540"/>
    <w:rPr>
      <w:rFonts w:asciiTheme="minorHAnsi" w:eastAsiaTheme="minorEastAsia" w:hAnsiTheme="minorHAnsi" w:cstheme="minorBidi"/>
      <w:kern w:val="2"/>
      <w:sz w:val="18"/>
      <w:szCs w:val="18"/>
    </w:rPr>
  </w:style>
  <w:style w:type="character" w:customStyle="1" w:styleId="hover43">
    <w:name w:val="hover43"/>
    <w:basedOn w:val="a0"/>
    <w:qFormat/>
    <w:rsid w:val="00244540"/>
    <w:rPr>
      <w:color w:val="F88413"/>
    </w:rPr>
  </w:style>
  <w:style w:type="paragraph" w:customStyle="1" w:styleId="Default">
    <w:name w:val="Default"/>
    <w:qFormat/>
    <w:rsid w:val="00244540"/>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244540"/>
    <w:rPr>
      <w:color w:val="F88413"/>
    </w:rPr>
  </w:style>
  <w:style w:type="character" w:customStyle="1" w:styleId="hover1">
    <w:name w:val="hover1"/>
    <w:basedOn w:val="a0"/>
    <w:qFormat/>
    <w:rsid w:val="00244540"/>
    <w:rPr>
      <w:shd w:val="clear" w:color="auto" w:fill="FEF2E7"/>
    </w:rPr>
  </w:style>
  <w:style w:type="character" w:customStyle="1" w:styleId="hover42">
    <w:name w:val="hover42"/>
    <w:basedOn w:val="a0"/>
    <w:qFormat/>
    <w:rsid w:val="00244540"/>
    <w:rPr>
      <w:shd w:val="clear" w:color="auto" w:fill="FEF2E7"/>
    </w:rPr>
  </w:style>
  <w:style w:type="character" w:customStyle="1" w:styleId="on3">
    <w:name w:val="on3"/>
    <w:basedOn w:val="a0"/>
    <w:qFormat/>
    <w:rsid w:val="00244540"/>
  </w:style>
  <w:style w:type="character" w:customStyle="1" w:styleId="on4">
    <w:name w:val="on4"/>
    <w:basedOn w:val="a0"/>
    <w:qFormat/>
    <w:rsid w:val="00244540"/>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427166816">
      <w:bodyDiv w:val="1"/>
      <w:marLeft w:val="0"/>
      <w:marRight w:val="0"/>
      <w:marTop w:val="0"/>
      <w:marBottom w:val="0"/>
      <w:divBdr>
        <w:top w:val="none" w:sz="0" w:space="0" w:color="auto"/>
        <w:left w:val="none" w:sz="0" w:space="0" w:color="auto"/>
        <w:bottom w:val="none" w:sz="0" w:space="0" w:color="auto"/>
        <w:right w:val="none" w:sz="0" w:space="0" w:color="auto"/>
      </w:divBdr>
      <w:divsChild>
        <w:div w:id="1783113501">
          <w:marLeft w:val="0"/>
          <w:marRight w:val="0"/>
          <w:marTop w:val="0"/>
          <w:marBottom w:val="0"/>
          <w:divBdr>
            <w:top w:val="none" w:sz="0" w:space="0" w:color="auto"/>
            <w:left w:val="none" w:sz="0" w:space="0" w:color="auto"/>
            <w:bottom w:val="none" w:sz="0" w:space="0" w:color="auto"/>
            <w:right w:val="none" w:sz="0" w:space="0" w:color="auto"/>
          </w:divBdr>
          <w:divsChild>
            <w:div w:id="353968603">
              <w:marLeft w:val="0"/>
              <w:marRight w:val="0"/>
              <w:marTop w:val="0"/>
              <w:marBottom w:val="0"/>
              <w:divBdr>
                <w:top w:val="none" w:sz="0" w:space="0" w:color="auto"/>
                <w:left w:val="none" w:sz="0" w:space="0" w:color="auto"/>
                <w:bottom w:val="none" w:sz="0" w:space="0" w:color="auto"/>
                <w:right w:val="none" w:sz="0" w:space="0" w:color="auto"/>
              </w:divBdr>
              <w:divsChild>
                <w:div w:id="868569041">
                  <w:marLeft w:val="0"/>
                  <w:marRight w:val="0"/>
                  <w:marTop w:val="0"/>
                  <w:marBottom w:val="0"/>
                  <w:divBdr>
                    <w:top w:val="none" w:sz="0" w:space="0" w:color="auto"/>
                    <w:left w:val="none" w:sz="0" w:space="0" w:color="auto"/>
                    <w:bottom w:val="none" w:sz="0" w:space="0" w:color="auto"/>
                    <w:right w:val="none" w:sz="0" w:space="0" w:color="auto"/>
                  </w:divBdr>
                  <w:divsChild>
                    <w:div w:id="1412770190">
                      <w:marLeft w:val="0"/>
                      <w:marRight w:val="0"/>
                      <w:marTop w:val="0"/>
                      <w:marBottom w:val="0"/>
                      <w:divBdr>
                        <w:top w:val="none" w:sz="0" w:space="0" w:color="auto"/>
                        <w:left w:val="none" w:sz="0" w:space="0" w:color="auto"/>
                        <w:bottom w:val="none" w:sz="0" w:space="0" w:color="auto"/>
                        <w:right w:val="none" w:sz="0" w:space="0" w:color="auto"/>
                      </w:divBdr>
                      <w:divsChild>
                        <w:div w:id="1731225169">
                          <w:marLeft w:val="0"/>
                          <w:marRight w:val="0"/>
                          <w:marTop w:val="15"/>
                          <w:marBottom w:val="0"/>
                          <w:divBdr>
                            <w:top w:val="none" w:sz="0" w:space="0" w:color="auto"/>
                            <w:left w:val="none" w:sz="0" w:space="0" w:color="auto"/>
                            <w:bottom w:val="none" w:sz="0" w:space="0" w:color="auto"/>
                            <w:right w:val="none" w:sz="0" w:space="0" w:color="auto"/>
                          </w:divBdr>
                          <w:divsChild>
                            <w:div w:id="1432435228">
                              <w:marLeft w:val="0"/>
                              <w:marRight w:val="0"/>
                              <w:marTop w:val="0"/>
                              <w:marBottom w:val="0"/>
                              <w:divBdr>
                                <w:top w:val="none" w:sz="0" w:space="0" w:color="auto"/>
                                <w:left w:val="none" w:sz="0" w:space="0" w:color="auto"/>
                                <w:bottom w:val="none" w:sz="0" w:space="0" w:color="auto"/>
                                <w:right w:val="none" w:sz="0" w:space="0" w:color="auto"/>
                              </w:divBdr>
                              <w:divsChild>
                                <w:div w:id="455221391">
                                  <w:marLeft w:val="0"/>
                                  <w:marRight w:val="0"/>
                                  <w:marTop w:val="0"/>
                                  <w:marBottom w:val="0"/>
                                  <w:divBdr>
                                    <w:top w:val="none" w:sz="0" w:space="0" w:color="auto"/>
                                    <w:left w:val="none" w:sz="0" w:space="0" w:color="auto"/>
                                    <w:bottom w:val="none" w:sz="0" w:space="0" w:color="auto"/>
                                    <w:right w:val="none" w:sz="0" w:space="0" w:color="auto"/>
                                  </w:divBdr>
                                </w:div>
                                <w:div w:id="377554514">
                                  <w:marLeft w:val="0"/>
                                  <w:marRight w:val="0"/>
                                  <w:marTop w:val="0"/>
                                  <w:marBottom w:val="0"/>
                                  <w:divBdr>
                                    <w:top w:val="none" w:sz="0" w:space="0" w:color="auto"/>
                                    <w:left w:val="none" w:sz="0" w:space="0" w:color="auto"/>
                                    <w:bottom w:val="none" w:sz="0" w:space="0" w:color="auto"/>
                                    <w:right w:val="none" w:sz="0" w:space="0" w:color="auto"/>
                                  </w:divBdr>
                                </w:div>
                                <w:div w:id="1886024031">
                                  <w:marLeft w:val="0"/>
                                  <w:marRight w:val="0"/>
                                  <w:marTop w:val="0"/>
                                  <w:marBottom w:val="0"/>
                                  <w:divBdr>
                                    <w:top w:val="none" w:sz="0" w:space="0" w:color="auto"/>
                                    <w:left w:val="none" w:sz="0" w:space="0" w:color="auto"/>
                                    <w:bottom w:val="none" w:sz="0" w:space="0" w:color="auto"/>
                                    <w:right w:val="none" w:sz="0" w:space="0" w:color="auto"/>
                                  </w:divBdr>
                                </w:div>
                                <w:div w:id="2014381437">
                                  <w:marLeft w:val="0"/>
                                  <w:marRight w:val="0"/>
                                  <w:marTop w:val="0"/>
                                  <w:marBottom w:val="0"/>
                                  <w:divBdr>
                                    <w:top w:val="none" w:sz="0" w:space="0" w:color="auto"/>
                                    <w:left w:val="none" w:sz="0" w:space="0" w:color="auto"/>
                                    <w:bottom w:val="none" w:sz="0" w:space="0" w:color="auto"/>
                                    <w:right w:val="none" w:sz="0" w:space="0" w:color="auto"/>
                                  </w:divBdr>
                                </w:div>
                                <w:div w:id="55476126">
                                  <w:marLeft w:val="0"/>
                                  <w:marRight w:val="0"/>
                                  <w:marTop w:val="0"/>
                                  <w:marBottom w:val="0"/>
                                  <w:divBdr>
                                    <w:top w:val="none" w:sz="0" w:space="0" w:color="auto"/>
                                    <w:left w:val="none" w:sz="0" w:space="0" w:color="auto"/>
                                    <w:bottom w:val="none" w:sz="0" w:space="0" w:color="auto"/>
                                    <w:right w:val="none" w:sz="0" w:space="0" w:color="auto"/>
                                  </w:divBdr>
                                </w:div>
                                <w:div w:id="48068018">
                                  <w:marLeft w:val="0"/>
                                  <w:marRight w:val="0"/>
                                  <w:marTop w:val="0"/>
                                  <w:marBottom w:val="0"/>
                                  <w:divBdr>
                                    <w:top w:val="none" w:sz="0" w:space="0" w:color="auto"/>
                                    <w:left w:val="none" w:sz="0" w:space="0" w:color="auto"/>
                                    <w:bottom w:val="none" w:sz="0" w:space="0" w:color="auto"/>
                                    <w:right w:val="none" w:sz="0" w:space="0" w:color="auto"/>
                                  </w:divBdr>
                                </w:div>
                                <w:div w:id="1368335503">
                                  <w:marLeft w:val="0"/>
                                  <w:marRight w:val="0"/>
                                  <w:marTop w:val="0"/>
                                  <w:marBottom w:val="0"/>
                                  <w:divBdr>
                                    <w:top w:val="none" w:sz="0" w:space="0" w:color="auto"/>
                                    <w:left w:val="none" w:sz="0" w:space="0" w:color="auto"/>
                                    <w:bottom w:val="none" w:sz="0" w:space="0" w:color="auto"/>
                                    <w:right w:val="none" w:sz="0" w:space="0" w:color="auto"/>
                                  </w:divBdr>
                                </w:div>
                                <w:div w:id="537938574">
                                  <w:marLeft w:val="0"/>
                                  <w:marRight w:val="0"/>
                                  <w:marTop w:val="0"/>
                                  <w:marBottom w:val="0"/>
                                  <w:divBdr>
                                    <w:top w:val="none" w:sz="0" w:space="0" w:color="auto"/>
                                    <w:left w:val="none" w:sz="0" w:space="0" w:color="auto"/>
                                    <w:bottom w:val="none" w:sz="0" w:space="0" w:color="auto"/>
                                    <w:right w:val="none" w:sz="0" w:space="0" w:color="auto"/>
                                  </w:divBdr>
                                </w:div>
                                <w:div w:id="1107652365">
                                  <w:marLeft w:val="0"/>
                                  <w:marRight w:val="0"/>
                                  <w:marTop w:val="0"/>
                                  <w:marBottom w:val="0"/>
                                  <w:divBdr>
                                    <w:top w:val="none" w:sz="0" w:space="0" w:color="auto"/>
                                    <w:left w:val="none" w:sz="0" w:space="0" w:color="auto"/>
                                    <w:bottom w:val="none" w:sz="0" w:space="0" w:color="auto"/>
                                    <w:right w:val="none" w:sz="0" w:space="0" w:color="auto"/>
                                  </w:divBdr>
                                </w:div>
                                <w:div w:id="1608543010">
                                  <w:marLeft w:val="0"/>
                                  <w:marRight w:val="0"/>
                                  <w:marTop w:val="0"/>
                                  <w:marBottom w:val="0"/>
                                  <w:divBdr>
                                    <w:top w:val="none" w:sz="0" w:space="0" w:color="auto"/>
                                    <w:left w:val="none" w:sz="0" w:space="0" w:color="auto"/>
                                    <w:bottom w:val="none" w:sz="0" w:space="0" w:color="auto"/>
                                    <w:right w:val="none" w:sz="0" w:space="0" w:color="auto"/>
                                  </w:divBdr>
                                </w:div>
                                <w:div w:id="811017487">
                                  <w:marLeft w:val="0"/>
                                  <w:marRight w:val="0"/>
                                  <w:marTop w:val="0"/>
                                  <w:marBottom w:val="0"/>
                                  <w:divBdr>
                                    <w:top w:val="none" w:sz="0" w:space="0" w:color="auto"/>
                                    <w:left w:val="none" w:sz="0" w:space="0" w:color="auto"/>
                                    <w:bottom w:val="none" w:sz="0" w:space="0" w:color="auto"/>
                                    <w:right w:val="none" w:sz="0" w:space="0" w:color="auto"/>
                                  </w:divBdr>
                                </w:div>
                                <w:div w:id="927151672">
                                  <w:marLeft w:val="0"/>
                                  <w:marRight w:val="0"/>
                                  <w:marTop w:val="0"/>
                                  <w:marBottom w:val="0"/>
                                  <w:divBdr>
                                    <w:top w:val="none" w:sz="0" w:space="0" w:color="auto"/>
                                    <w:left w:val="none" w:sz="0" w:space="0" w:color="auto"/>
                                    <w:bottom w:val="none" w:sz="0" w:space="0" w:color="auto"/>
                                    <w:right w:val="none" w:sz="0" w:space="0" w:color="auto"/>
                                  </w:divBdr>
                                </w:div>
                                <w:div w:id="581644920">
                                  <w:marLeft w:val="0"/>
                                  <w:marRight w:val="0"/>
                                  <w:marTop w:val="0"/>
                                  <w:marBottom w:val="0"/>
                                  <w:divBdr>
                                    <w:top w:val="none" w:sz="0" w:space="0" w:color="auto"/>
                                    <w:left w:val="none" w:sz="0" w:space="0" w:color="auto"/>
                                    <w:bottom w:val="none" w:sz="0" w:space="0" w:color="auto"/>
                                    <w:right w:val="none" w:sz="0" w:space="0" w:color="auto"/>
                                  </w:divBdr>
                                </w:div>
                                <w:div w:id="1133451823">
                                  <w:marLeft w:val="0"/>
                                  <w:marRight w:val="0"/>
                                  <w:marTop w:val="0"/>
                                  <w:marBottom w:val="0"/>
                                  <w:divBdr>
                                    <w:top w:val="none" w:sz="0" w:space="0" w:color="auto"/>
                                    <w:left w:val="none" w:sz="0" w:space="0" w:color="auto"/>
                                    <w:bottom w:val="none" w:sz="0" w:space="0" w:color="auto"/>
                                    <w:right w:val="none" w:sz="0" w:space="0" w:color="auto"/>
                                  </w:divBdr>
                                </w:div>
                                <w:div w:id="422531767">
                                  <w:marLeft w:val="0"/>
                                  <w:marRight w:val="0"/>
                                  <w:marTop w:val="0"/>
                                  <w:marBottom w:val="0"/>
                                  <w:divBdr>
                                    <w:top w:val="none" w:sz="0" w:space="0" w:color="auto"/>
                                    <w:left w:val="none" w:sz="0" w:space="0" w:color="auto"/>
                                    <w:bottom w:val="none" w:sz="0" w:space="0" w:color="auto"/>
                                    <w:right w:val="none" w:sz="0" w:space="0" w:color="auto"/>
                                  </w:divBdr>
                                </w:div>
                                <w:div w:id="1484815259">
                                  <w:marLeft w:val="0"/>
                                  <w:marRight w:val="0"/>
                                  <w:marTop w:val="0"/>
                                  <w:marBottom w:val="0"/>
                                  <w:divBdr>
                                    <w:top w:val="none" w:sz="0" w:space="0" w:color="auto"/>
                                    <w:left w:val="none" w:sz="0" w:space="0" w:color="auto"/>
                                    <w:bottom w:val="none" w:sz="0" w:space="0" w:color="auto"/>
                                    <w:right w:val="none" w:sz="0" w:space="0" w:color="auto"/>
                                  </w:divBdr>
                                </w:div>
                                <w:div w:id="684669615">
                                  <w:marLeft w:val="0"/>
                                  <w:marRight w:val="0"/>
                                  <w:marTop w:val="0"/>
                                  <w:marBottom w:val="0"/>
                                  <w:divBdr>
                                    <w:top w:val="none" w:sz="0" w:space="0" w:color="auto"/>
                                    <w:left w:val="none" w:sz="0" w:space="0" w:color="auto"/>
                                    <w:bottom w:val="none" w:sz="0" w:space="0" w:color="auto"/>
                                    <w:right w:val="none" w:sz="0" w:space="0" w:color="auto"/>
                                  </w:divBdr>
                                </w:div>
                                <w:div w:id="1976711440">
                                  <w:marLeft w:val="0"/>
                                  <w:marRight w:val="0"/>
                                  <w:marTop w:val="0"/>
                                  <w:marBottom w:val="0"/>
                                  <w:divBdr>
                                    <w:top w:val="none" w:sz="0" w:space="0" w:color="auto"/>
                                    <w:left w:val="none" w:sz="0" w:space="0" w:color="auto"/>
                                    <w:bottom w:val="none" w:sz="0" w:space="0" w:color="auto"/>
                                    <w:right w:val="none" w:sz="0" w:space="0" w:color="auto"/>
                                  </w:divBdr>
                                </w:div>
                                <w:div w:id="558639600">
                                  <w:marLeft w:val="0"/>
                                  <w:marRight w:val="0"/>
                                  <w:marTop w:val="0"/>
                                  <w:marBottom w:val="0"/>
                                  <w:divBdr>
                                    <w:top w:val="none" w:sz="0" w:space="0" w:color="auto"/>
                                    <w:left w:val="none" w:sz="0" w:space="0" w:color="auto"/>
                                    <w:bottom w:val="none" w:sz="0" w:space="0" w:color="auto"/>
                                    <w:right w:val="none" w:sz="0" w:space="0" w:color="auto"/>
                                  </w:divBdr>
                                </w:div>
                                <w:div w:id="2094470063">
                                  <w:marLeft w:val="0"/>
                                  <w:marRight w:val="0"/>
                                  <w:marTop w:val="0"/>
                                  <w:marBottom w:val="0"/>
                                  <w:divBdr>
                                    <w:top w:val="none" w:sz="0" w:space="0" w:color="auto"/>
                                    <w:left w:val="none" w:sz="0" w:space="0" w:color="auto"/>
                                    <w:bottom w:val="none" w:sz="0" w:space="0" w:color="auto"/>
                                    <w:right w:val="none" w:sz="0" w:space="0" w:color="auto"/>
                                  </w:divBdr>
                                </w:div>
                                <w:div w:id="467675586">
                                  <w:marLeft w:val="0"/>
                                  <w:marRight w:val="0"/>
                                  <w:marTop w:val="0"/>
                                  <w:marBottom w:val="0"/>
                                  <w:divBdr>
                                    <w:top w:val="none" w:sz="0" w:space="0" w:color="auto"/>
                                    <w:left w:val="none" w:sz="0" w:space="0" w:color="auto"/>
                                    <w:bottom w:val="none" w:sz="0" w:space="0" w:color="auto"/>
                                    <w:right w:val="none" w:sz="0" w:space="0" w:color="auto"/>
                                  </w:divBdr>
                                </w:div>
                                <w:div w:id="258222830">
                                  <w:marLeft w:val="0"/>
                                  <w:marRight w:val="0"/>
                                  <w:marTop w:val="0"/>
                                  <w:marBottom w:val="0"/>
                                  <w:divBdr>
                                    <w:top w:val="none" w:sz="0" w:space="0" w:color="auto"/>
                                    <w:left w:val="none" w:sz="0" w:space="0" w:color="auto"/>
                                    <w:bottom w:val="none" w:sz="0" w:space="0" w:color="auto"/>
                                    <w:right w:val="none" w:sz="0" w:space="0" w:color="auto"/>
                                  </w:divBdr>
                                </w:div>
                                <w:div w:id="1869685794">
                                  <w:marLeft w:val="0"/>
                                  <w:marRight w:val="0"/>
                                  <w:marTop w:val="0"/>
                                  <w:marBottom w:val="0"/>
                                  <w:divBdr>
                                    <w:top w:val="none" w:sz="0" w:space="0" w:color="auto"/>
                                    <w:left w:val="none" w:sz="0" w:space="0" w:color="auto"/>
                                    <w:bottom w:val="none" w:sz="0" w:space="0" w:color="auto"/>
                                    <w:right w:val="none" w:sz="0" w:space="0" w:color="auto"/>
                                  </w:divBdr>
                                </w:div>
                                <w:div w:id="1198079629">
                                  <w:marLeft w:val="0"/>
                                  <w:marRight w:val="0"/>
                                  <w:marTop w:val="0"/>
                                  <w:marBottom w:val="0"/>
                                  <w:divBdr>
                                    <w:top w:val="none" w:sz="0" w:space="0" w:color="auto"/>
                                    <w:left w:val="none" w:sz="0" w:space="0" w:color="auto"/>
                                    <w:bottom w:val="none" w:sz="0" w:space="0" w:color="auto"/>
                                    <w:right w:val="none" w:sz="0" w:space="0" w:color="auto"/>
                                  </w:divBdr>
                                </w:div>
                                <w:div w:id="1359697720">
                                  <w:marLeft w:val="0"/>
                                  <w:marRight w:val="0"/>
                                  <w:marTop w:val="0"/>
                                  <w:marBottom w:val="0"/>
                                  <w:divBdr>
                                    <w:top w:val="none" w:sz="0" w:space="0" w:color="auto"/>
                                    <w:left w:val="none" w:sz="0" w:space="0" w:color="auto"/>
                                    <w:bottom w:val="none" w:sz="0" w:space="0" w:color="auto"/>
                                    <w:right w:val="none" w:sz="0" w:space="0" w:color="auto"/>
                                  </w:divBdr>
                                </w:div>
                                <w:div w:id="457141386">
                                  <w:marLeft w:val="0"/>
                                  <w:marRight w:val="0"/>
                                  <w:marTop w:val="0"/>
                                  <w:marBottom w:val="0"/>
                                  <w:divBdr>
                                    <w:top w:val="none" w:sz="0" w:space="0" w:color="auto"/>
                                    <w:left w:val="none" w:sz="0" w:space="0" w:color="auto"/>
                                    <w:bottom w:val="none" w:sz="0" w:space="0" w:color="auto"/>
                                    <w:right w:val="none" w:sz="0" w:space="0" w:color="auto"/>
                                  </w:divBdr>
                                </w:div>
                                <w:div w:id="443428183">
                                  <w:marLeft w:val="0"/>
                                  <w:marRight w:val="0"/>
                                  <w:marTop w:val="0"/>
                                  <w:marBottom w:val="0"/>
                                  <w:divBdr>
                                    <w:top w:val="none" w:sz="0" w:space="0" w:color="auto"/>
                                    <w:left w:val="none" w:sz="0" w:space="0" w:color="auto"/>
                                    <w:bottom w:val="none" w:sz="0" w:space="0" w:color="auto"/>
                                    <w:right w:val="none" w:sz="0" w:space="0" w:color="auto"/>
                                  </w:divBdr>
                                </w:div>
                                <w:div w:id="2134008831">
                                  <w:marLeft w:val="0"/>
                                  <w:marRight w:val="0"/>
                                  <w:marTop w:val="0"/>
                                  <w:marBottom w:val="0"/>
                                  <w:divBdr>
                                    <w:top w:val="none" w:sz="0" w:space="0" w:color="auto"/>
                                    <w:left w:val="none" w:sz="0" w:space="0" w:color="auto"/>
                                    <w:bottom w:val="none" w:sz="0" w:space="0" w:color="auto"/>
                                    <w:right w:val="none" w:sz="0" w:space="0" w:color="auto"/>
                                  </w:divBdr>
                                </w:div>
                                <w:div w:id="16415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703210502">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733886120">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2543</Characters>
  <Application>Microsoft Office Word</Application>
  <DocSecurity>4</DocSecurity>
  <Lines>21</Lines>
  <Paragraphs>5</Paragraphs>
  <ScaleCrop>false</ScaleCrop>
  <Company>Microsoft</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2023-02-15T16:01:00Z</dcterms:created>
  <dcterms:modified xsi:type="dcterms:W3CDTF">2023-02-15T16:01:00Z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