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BB" w:rsidRPr="00233F85" w:rsidRDefault="009D229C" w:rsidP="00E92E32">
      <w:pPr>
        <w:widowControl/>
        <w:spacing w:line="360" w:lineRule="auto"/>
        <w:jc w:val="center"/>
        <w:outlineLvl w:val="0"/>
        <w:rPr>
          <w:b/>
          <w:color w:val="000000"/>
          <w:kern w:val="0"/>
          <w:sz w:val="32"/>
          <w:szCs w:val="28"/>
        </w:rPr>
      </w:pPr>
      <w:r w:rsidRPr="00233F85">
        <w:rPr>
          <w:rFonts w:hint="eastAsia"/>
          <w:b/>
          <w:color w:val="000000"/>
          <w:kern w:val="0"/>
          <w:sz w:val="32"/>
          <w:szCs w:val="28"/>
        </w:rPr>
        <w:t>关于</w:t>
      </w:r>
      <w:r w:rsidR="007F4622">
        <w:rPr>
          <w:rFonts w:hint="eastAsia"/>
          <w:b/>
          <w:color w:val="000000"/>
          <w:kern w:val="0"/>
          <w:sz w:val="32"/>
          <w:szCs w:val="28"/>
        </w:rPr>
        <w:t>更新</w:t>
      </w:r>
      <w:r w:rsidRPr="00233F85">
        <w:rPr>
          <w:rFonts w:hint="eastAsia"/>
          <w:b/>
          <w:color w:val="000000"/>
          <w:kern w:val="0"/>
          <w:sz w:val="32"/>
          <w:szCs w:val="28"/>
        </w:rPr>
        <w:t>建信基金旗下</w:t>
      </w:r>
      <w:r w:rsidR="00A70B64" w:rsidRPr="00233F85">
        <w:rPr>
          <w:rFonts w:hint="eastAsia"/>
          <w:b/>
          <w:color w:val="000000"/>
          <w:kern w:val="0"/>
          <w:sz w:val="32"/>
          <w:szCs w:val="28"/>
        </w:rPr>
        <w:t>公募基金产品适当性风险等级</w:t>
      </w:r>
      <w:r w:rsidR="007F4622">
        <w:rPr>
          <w:rFonts w:hint="eastAsia"/>
          <w:b/>
          <w:color w:val="000000"/>
          <w:kern w:val="0"/>
          <w:sz w:val="32"/>
          <w:szCs w:val="28"/>
        </w:rPr>
        <w:t>评定</w:t>
      </w:r>
      <w:r w:rsidR="00003737">
        <w:rPr>
          <w:rFonts w:hint="eastAsia"/>
          <w:b/>
          <w:color w:val="000000"/>
          <w:kern w:val="0"/>
          <w:sz w:val="32"/>
          <w:szCs w:val="28"/>
        </w:rPr>
        <w:t>结果</w:t>
      </w:r>
      <w:r w:rsidR="00A70B64" w:rsidRPr="00233F85">
        <w:rPr>
          <w:rFonts w:hint="eastAsia"/>
          <w:b/>
          <w:color w:val="000000"/>
          <w:kern w:val="0"/>
          <w:sz w:val="32"/>
          <w:szCs w:val="28"/>
        </w:rPr>
        <w:t>的公告</w:t>
      </w:r>
    </w:p>
    <w:p w:rsidR="00E211BB" w:rsidRDefault="00E211BB">
      <w:pPr>
        <w:widowControl/>
        <w:spacing w:line="360" w:lineRule="auto"/>
        <w:jc w:val="left"/>
        <w:rPr>
          <w:color w:val="000000"/>
          <w:kern w:val="0"/>
          <w:szCs w:val="21"/>
        </w:rPr>
      </w:pPr>
    </w:p>
    <w:p w:rsidR="00E211BB" w:rsidRDefault="00A70B64" w:rsidP="00233F85">
      <w:pPr>
        <w:widowControl/>
        <w:spacing w:line="360" w:lineRule="auto"/>
        <w:ind w:firstLineChars="200" w:firstLine="480"/>
        <w:jc w:val="left"/>
        <w:rPr>
          <w:color w:val="000000"/>
          <w:kern w:val="0"/>
          <w:sz w:val="24"/>
          <w:szCs w:val="21"/>
        </w:rPr>
      </w:pPr>
      <w:r w:rsidRPr="00233F85">
        <w:rPr>
          <w:rFonts w:hint="eastAsia"/>
          <w:color w:val="000000"/>
          <w:kern w:val="0"/>
          <w:sz w:val="24"/>
          <w:szCs w:val="21"/>
        </w:rPr>
        <w:t>根据《证券期货投资者适当性管理办法》及《基金募集机构投资者适当性管理实施指引（试行）》等相关法规规定，为进一步提升投资者适当性服务水平，建信基金管理有限责任公司（以下简称“本公司”）</w:t>
      </w:r>
      <w:r w:rsidR="00EE6DCA" w:rsidRPr="00233F85">
        <w:rPr>
          <w:rFonts w:hint="eastAsia"/>
          <w:color w:val="000000"/>
          <w:kern w:val="0"/>
          <w:sz w:val="24"/>
          <w:szCs w:val="21"/>
        </w:rPr>
        <w:t>自</w:t>
      </w:r>
      <w:r w:rsidR="00EE6DCA" w:rsidRPr="00233F85">
        <w:rPr>
          <w:rFonts w:hint="eastAsia"/>
          <w:color w:val="000000"/>
          <w:kern w:val="0"/>
          <w:sz w:val="24"/>
          <w:szCs w:val="21"/>
        </w:rPr>
        <w:t>2022</w:t>
      </w:r>
      <w:r w:rsidR="00EE6DCA" w:rsidRPr="00233F85">
        <w:rPr>
          <w:rFonts w:hint="eastAsia"/>
          <w:color w:val="000000"/>
          <w:kern w:val="0"/>
          <w:sz w:val="24"/>
          <w:szCs w:val="21"/>
        </w:rPr>
        <w:t>年</w:t>
      </w:r>
      <w:r w:rsidR="00EE6DCA" w:rsidRPr="00233F85">
        <w:rPr>
          <w:rFonts w:hint="eastAsia"/>
          <w:color w:val="000000"/>
          <w:kern w:val="0"/>
          <w:sz w:val="24"/>
          <w:szCs w:val="21"/>
        </w:rPr>
        <w:t>7</w:t>
      </w:r>
      <w:r w:rsidR="00EE6DCA" w:rsidRPr="00233F85">
        <w:rPr>
          <w:rFonts w:hint="eastAsia"/>
          <w:color w:val="000000"/>
          <w:kern w:val="0"/>
          <w:sz w:val="24"/>
          <w:szCs w:val="21"/>
        </w:rPr>
        <w:t>月</w:t>
      </w:r>
      <w:r w:rsidR="00EE6DCA" w:rsidRPr="00233F85">
        <w:rPr>
          <w:rFonts w:hint="eastAsia"/>
          <w:color w:val="000000"/>
          <w:kern w:val="0"/>
          <w:sz w:val="24"/>
          <w:szCs w:val="21"/>
        </w:rPr>
        <w:t>7</w:t>
      </w:r>
      <w:r w:rsidR="00EE6DCA" w:rsidRPr="00233F85">
        <w:rPr>
          <w:rFonts w:hint="eastAsia"/>
          <w:color w:val="000000"/>
          <w:kern w:val="0"/>
          <w:sz w:val="24"/>
          <w:szCs w:val="21"/>
        </w:rPr>
        <w:t>日起</w:t>
      </w:r>
      <w:r w:rsidRPr="00233F85">
        <w:rPr>
          <w:rFonts w:hint="eastAsia"/>
          <w:color w:val="000000"/>
          <w:kern w:val="0"/>
          <w:sz w:val="24"/>
          <w:szCs w:val="21"/>
        </w:rPr>
        <w:t>参考独立第三方评级机构——中国银河证券基金研究中心（以下简称“银河证券”）的《中国银河证券基金研究中心公募基金产品适当性风险评价体系》及其相关内容，对旗下公募基金产品风险等级进行评定。</w:t>
      </w:r>
      <w:r w:rsidR="00EE6DCA" w:rsidRPr="00233F85">
        <w:rPr>
          <w:rFonts w:hint="eastAsia"/>
          <w:color w:val="000000"/>
          <w:kern w:val="0"/>
          <w:sz w:val="24"/>
          <w:szCs w:val="21"/>
        </w:rPr>
        <w:t>自</w:t>
      </w:r>
      <w:r w:rsidR="00EE6DCA" w:rsidRPr="00233F85">
        <w:rPr>
          <w:rFonts w:hint="eastAsia"/>
          <w:color w:val="000000"/>
          <w:kern w:val="0"/>
          <w:sz w:val="24"/>
          <w:szCs w:val="21"/>
        </w:rPr>
        <w:t>2022</w:t>
      </w:r>
      <w:r w:rsidR="00EE6DCA" w:rsidRPr="00233F85">
        <w:rPr>
          <w:rFonts w:hint="eastAsia"/>
          <w:color w:val="000000"/>
          <w:kern w:val="0"/>
          <w:sz w:val="24"/>
          <w:szCs w:val="21"/>
        </w:rPr>
        <w:t>年</w:t>
      </w:r>
      <w:r w:rsidR="00EE6DCA" w:rsidRPr="00233F85">
        <w:rPr>
          <w:rFonts w:hint="eastAsia"/>
          <w:color w:val="000000"/>
          <w:kern w:val="0"/>
          <w:sz w:val="24"/>
          <w:szCs w:val="21"/>
        </w:rPr>
        <w:t>7</w:t>
      </w:r>
      <w:r w:rsidR="00EE6DCA" w:rsidRPr="00233F85">
        <w:rPr>
          <w:rFonts w:hint="eastAsia"/>
          <w:color w:val="000000"/>
          <w:kern w:val="0"/>
          <w:sz w:val="24"/>
          <w:szCs w:val="21"/>
        </w:rPr>
        <w:t>月</w:t>
      </w:r>
      <w:r w:rsidR="00EE6DCA" w:rsidRPr="00233F85">
        <w:rPr>
          <w:rFonts w:hint="eastAsia"/>
          <w:color w:val="000000"/>
          <w:kern w:val="0"/>
          <w:sz w:val="24"/>
          <w:szCs w:val="21"/>
        </w:rPr>
        <w:t>7</w:t>
      </w:r>
      <w:r w:rsidR="00EE6DCA" w:rsidRPr="00233F85">
        <w:rPr>
          <w:rFonts w:hint="eastAsia"/>
          <w:color w:val="000000"/>
          <w:kern w:val="0"/>
          <w:sz w:val="24"/>
          <w:szCs w:val="21"/>
        </w:rPr>
        <w:t>日后，如有风险等级</w:t>
      </w:r>
      <w:r w:rsidR="006435B2">
        <w:rPr>
          <w:rFonts w:hint="eastAsia"/>
          <w:color w:val="000000"/>
          <w:kern w:val="0"/>
          <w:sz w:val="24"/>
          <w:szCs w:val="21"/>
        </w:rPr>
        <w:t>变动</w:t>
      </w:r>
      <w:r w:rsidR="00EE6DCA" w:rsidRPr="00233F85">
        <w:rPr>
          <w:rFonts w:hint="eastAsia"/>
          <w:color w:val="000000"/>
          <w:kern w:val="0"/>
          <w:sz w:val="24"/>
          <w:szCs w:val="21"/>
        </w:rPr>
        <w:t>的情况，</w:t>
      </w:r>
      <w:r w:rsidR="006435B2">
        <w:rPr>
          <w:rFonts w:hint="eastAsia"/>
          <w:color w:val="000000"/>
          <w:kern w:val="0"/>
          <w:sz w:val="24"/>
          <w:szCs w:val="21"/>
        </w:rPr>
        <w:t>本</w:t>
      </w:r>
      <w:r w:rsidR="00EE6DCA" w:rsidRPr="00233F85">
        <w:rPr>
          <w:rFonts w:hint="eastAsia"/>
          <w:color w:val="000000"/>
          <w:kern w:val="0"/>
          <w:sz w:val="24"/>
          <w:szCs w:val="21"/>
        </w:rPr>
        <w:t>公司将通过公告或适当方式向投资者进行信息披露。为了</w:t>
      </w:r>
      <w:r w:rsidR="00003737">
        <w:rPr>
          <w:rFonts w:hint="eastAsia"/>
          <w:color w:val="000000"/>
          <w:kern w:val="0"/>
          <w:sz w:val="24"/>
          <w:szCs w:val="21"/>
        </w:rPr>
        <w:t>使</w:t>
      </w:r>
      <w:r w:rsidR="00EE6DCA" w:rsidRPr="00233F85">
        <w:rPr>
          <w:rFonts w:hint="eastAsia"/>
          <w:color w:val="000000"/>
          <w:kern w:val="0"/>
          <w:sz w:val="24"/>
          <w:szCs w:val="21"/>
        </w:rPr>
        <w:t>投资者充分了解本公司旗下公募基金</w:t>
      </w:r>
      <w:r w:rsidR="00892449">
        <w:rPr>
          <w:rFonts w:hint="eastAsia"/>
          <w:color w:val="000000"/>
          <w:kern w:val="0"/>
          <w:sz w:val="24"/>
          <w:szCs w:val="21"/>
        </w:rPr>
        <w:t>最新</w:t>
      </w:r>
      <w:r w:rsidR="00EE6DCA" w:rsidRPr="00233F85">
        <w:rPr>
          <w:rFonts w:hint="eastAsia"/>
          <w:color w:val="000000"/>
          <w:kern w:val="0"/>
          <w:sz w:val="24"/>
          <w:szCs w:val="21"/>
        </w:rPr>
        <w:t>风险等级评定结果，</w:t>
      </w:r>
      <w:r w:rsidR="00003737">
        <w:rPr>
          <w:rFonts w:hint="eastAsia"/>
          <w:color w:val="000000"/>
          <w:kern w:val="0"/>
          <w:sz w:val="24"/>
          <w:szCs w:val="21"/>
        </w:rPr>
        <w:t>特发布此公告。</w:t>
      </w:r>
    </w:p>
    <w:tbl>
      <w:tblPr>
        <w:tblW w:w="5000" w:type="pct"/>
        <w:tblLook w:val="04A0"/>
      </w:tblPr>
      <w:tblGrid>
        <w:gridCol w:w="1195"/>
        <w:gridCol w:w="3997"/>
        <w:gridCol w:w="1665"/>
        <w:gridCol w:w="1665"/>
      </w:tblGrid>
      <w:tr w:rsidR="00B22EE9" w:rsidRPr="00B22EE9" w:rsidTr="00B22EE9">
        <w:trPr>
          <w:trHeight w:val="285"/>
        </w:trPr>
        <w:tc>
          <w:tcPr>
            <w:tcW w:w="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22EE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基金代码</w:t>
            </w:r>
          </w:p>
        </w:tc>
        <w:tc>
          <w:tcPr>
            <w:tcW w:w="23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22EE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基金简称</w:t>
            </w:r>
          </w:p>
        </w:tc>
        <w:tc>
          <w:tcPr>
            <w:tcW w:w="9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22EE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风险等级编码</w:t>
            </w:r>
          </w:p>
        </w:tc>
        <w:tc>
          <w:tcPr>
            <w:tcW w:w="9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22EE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风险等级名称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016715</w:t>
            </w:r>
          </w:p>
        </w:tc>
        <w:tc>
          <w:tcPr>
            <w:tcW w:w="2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建信渤泰A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R2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中低风险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016716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建信渤泰C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中低风险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017789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建信睿享纯债C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中低风险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016799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建信鑫和30天持有A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中低风险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016800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建信鑫和30天持有C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中低风险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016268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建信中证500指数量化增强C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016267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建信中证500指数量化增强A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016849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建信优享进取养老目标五年持有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017194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建信弘利C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007830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建信荣瑞一年定开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中低风险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017257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建信优享稳健养老一年Y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017258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建信普泽养老目标日期2040三年持有Y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016065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建信智远先锋C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016064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建信智远先锋A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015522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建信兴晟优选一年持有C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015521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建信兴晟优选一年持有A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012571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建信恒生科技指数C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中高风险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012570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建信恒生科技指数A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中高风险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016352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建信高端医疗C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中高风险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016362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建信同业存单指数7天持有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016497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建信鑫享短债D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中低风险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016282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建信内生动力C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016034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建信鑫福60天持有中短债A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中低风险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016035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建信鑫福60天持有中短债C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中低风险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016269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建信改革红利C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159616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建信中证农牧主题ETF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中高风险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014782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建信兴衡优选一年持有C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014781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建信兴衡优选一年持有A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014366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建信普泽养老目标日期2050五年持有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015812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建信鑫荣回报C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014857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建信鑫享短债C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中低风险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014858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建信鑫享短债F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中低风险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014856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建信鑫享短债A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中低风险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015517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建信鑫恒120天滚动中短债C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中低风险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015516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建信鑫恒120天滚动中短债A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中低风险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003400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建信恒瑞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中低风险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014365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建信优享平衡养老三年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015442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建信福泽安泰C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015436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建信优化配置C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014654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建信卓越成长一年持有C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014653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建信卓越成长一年持有A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014863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建信信息产业C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014864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建信食品饮料行业C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中高风险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015048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建信新能源C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中高风险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014967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建信潜力新蓝筹C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014251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建信鑫怡90天滚动中短债C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中低风险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014250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建信鑫怡90天滚动中短债A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中低风险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014200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建信沃信一年持有C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014199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建信沃信一年持有A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014849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建信健康民生C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159775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建信国证新能源车电池ETF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中高风险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008923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建信医疗健康行业A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中高风险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008924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建信医疗健康行业C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中高风险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508099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建信中关村产业园REIT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中高风险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012657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建信龙祥稳进6个月持有C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012656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建信龙祥稳进6个月持有A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014380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建信中国制造2025C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159789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建信中证饮料主题ETF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中高风险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013170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建信彭博政策性银行债C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中低风险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013169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建信彭博政策性银行债A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中低风险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012485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建信汇益一年持有A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012486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建信汇益一年持有C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013919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建信中小盘C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011970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建信港股通精选C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中高风险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011969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建信港股通精选A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中高风险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539001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建信纳斯达克100人民币A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中高风险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012753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建信纳斯达克100美元现汇C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中高风险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012752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建信纳斯达克100人民币C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中高风险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012751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建信纳斯达克100美元现汇A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中高风险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011793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建信智能汽车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中高风险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012645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建信中证全指证券公司ETF联接A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中高风险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012646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建信中证全指证券公司ETF联接C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中高风险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012713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建信沪深300红利ETF联接C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中高风险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012712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建信沪深300红利ETF联接A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中高风险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013443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建信创业板ETF联接E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中高风险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013444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建信上证50ETF联接E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013442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建信中证1000指数增强E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013021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建信兴润一年持有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159763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建信中证新材料主题ETF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中高风险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013076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建信鑫悦90天滚动持有中短债C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中低风险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011790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建信创新驱动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013075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建信鑫悦90天滚动持有中短债A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中低风险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159710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建信中证智能电动汽车ETF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中高风险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012283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建信普泽养老目标日期2040三年持有A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011947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建信裕丰利率债三个月定开债C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中低风险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011946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建信裕丰利率债三个月定开债A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中低风险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011942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建信泓利一年持有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中低风险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159891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建信中证全指医疗保健设备与服务ETF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中高风险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012413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建信睿怡纯债C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中低风险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011222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建信现金添益C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011507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建信高端装备C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011506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建信高端装备A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011503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建信智能生活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159835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建信中证创新药ETF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中高风险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011169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建信臻选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011189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建信智汇优选一年持有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530014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建信利率债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中低风险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165312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建信央视财经50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中高风险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531030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建信周盈安心理财B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中低风险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530030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建信周盈安心理财A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中低风险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010768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建信利率债策略纯债C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中低风险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010767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建信利率债策略纯债A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中低风险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010727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建信现金增利货币B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008828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建信易盛郑商所能源化工期货ETF联接C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中高风险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008827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建信易盛郑商所能源化工期货ETF联接A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中高风险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009554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建信中债1-3年农发债A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中低风险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009555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建信中债1-3年农发债C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中低风险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009476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建信食品饮料行业A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中高风险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009033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建信上海金ETF联接A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中高风险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009034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建信上海金ETF联接C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中高风险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518860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建信上海金ETF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中高风险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515560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建信中证全指证券公司ETF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中高风险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009147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建信新能源A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中高风险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009528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建信中债湖北省地方债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中低风险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165310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建信沪深300增强A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009208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建信沪深300增强C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530029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建信荣元一年定开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中低风险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501098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建信科技创新3年封闭运作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008962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建信科技创新A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008963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建信科技创新C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008177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建信高股息主题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008022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建信短债F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中低风险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530028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建信短债C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中低风险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531028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建信短债A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中低风险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539003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建信富时100指数人民币A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中高风险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008707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建信富时100指数美元现汇A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中高风险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008708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建信富时100指数美元现汇C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中高风险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008706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建信富时100指数人民币C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中高风险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008064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建信睿信三个月定开债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中低风险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008344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建信睿阳一年定开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中低风险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007699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建信荣禧一年定开债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中低风险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159981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建信易盛郑商所能源化工期货ETF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中高风险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007806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建信MSCI中国A股指数增强A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007807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建信MSCI中国A股指数增强C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000270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建信灵活配置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007671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建信中证红利潜力指数A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中高风险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007672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建信中证红利潜力指数C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中高风险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512530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建信沪深300红利ETF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中高风险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005926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建信福泽裕泰C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005925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建信福泽裕泰A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007095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建信中债3-5年国开行C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中低风险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007094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建信中债3-5年国开行A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中低风险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006791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建信睿兴纯债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中低风险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006500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建信润利增强A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中低风险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006501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建信润利增强C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中低风险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007027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建信中债1-3年国开行C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中低风险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007026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建信中债1-3年国开行A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中低风险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006989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建信中短债纯债A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中低风险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006990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建信中短债纯债C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中低风险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006581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建信优享稳健养老一年A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006166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建信中证1000指数增强C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006165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建信中证1000指数增强A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005881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建信上证50ETF联接C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005880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建信上证50ETF联接A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002377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建信睿怡纯债A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中低风险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006363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建信深证基本面60ETF联接C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002585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建信兴利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005874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建信创业板ETF联接C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中高风险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005873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建信创业板ETF联接A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中高风险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005829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建信MSCI中国A股ETF联接A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005830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建信MSCI中国A股ETF联接C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002573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建信汇利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512180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建信MSCI中国A股国际通ETF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005596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建信战略精选A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005597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建信战略精选C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005633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建信中证500指数增强C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005455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建信睿丰纯债定开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中低风险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165317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建信丰裕多策略(LOF)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002378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建信弘利A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159956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建信创业板ETF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中高风险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005375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建信睿和纯债定开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中低风险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005259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建信龙头企业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002281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建信裕利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510800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建信上证50ETF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004617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建信鑫稳回报A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004618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建信鑫稳回报C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001858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建信鑫利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005217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建信福泽安泰A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004730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建信量化事件驱动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004683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建信高端医疗A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中高风险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004413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建信民丰回报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001825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建信中国制造2025A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003831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建信鑫瑞回报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003583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建信稳定鑫利A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中低风险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003584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建信稳定鑫利C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中低风险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001498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建信鑫荣回报A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003590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建信睿富纯债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中低风险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003681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建信睿享纯债A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中低风险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003391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建信天添益A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003392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建信天添益B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003393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建信天添益C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003185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建信货币B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003022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建信现金添益A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511660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建信现金添益H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002952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建信多因子量化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003164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建信现金添利B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002758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建信现金增利货币A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960029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建信双息红利H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中低风险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960028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建信优选成长H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002753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建信嘉薪宝B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001781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建信现代服务业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001397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建信精工制造指数增强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中高风险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001473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建信大安全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001396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建信互联网+产业升级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001276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建信新经济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001304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建信鑫安回报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001166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建信环保产业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中高风险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001070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建信信息产业A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000994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建信睿盈A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000995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建信睿盈C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000876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建信稳定得利C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中低风险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000875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建信稳定得利A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中低风险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531008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建信稳定增利A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中低风险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000693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建信现金添利A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000756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建信潜力新蓝筹A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531017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建信双息红利C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中低风险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000729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建信中小盘A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000686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建信嘉薪宝A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165311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建信信用增强A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中低风险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165314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建信信用增强C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中低风险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000592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建信改革红利A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000547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建信健康民生A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000478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建信中证500指数增强A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530012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建信积极配置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000346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建信安心回报6个月A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中低风险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000347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建信安心回报6个月C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中低风险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000308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建信创新中国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000207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建信双债增强A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中低风险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000208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建信双债增强C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中低风险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000056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建信消费升级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000106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建信安心回报C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中低风险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000105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建信安心回报A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中低风险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165313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建信优势动力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530021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建信纯债A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中低风险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531021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建信纯债C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中低风险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530019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建信社会责任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531020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建信转债增强C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530020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建信转债增强A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530018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建信深证100指数增强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530017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建信双息红利A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中低风险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530016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建信恒稳价值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530015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建信深证基本面60ETF联接A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159916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建信深证基本面60ETF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539002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建信新兴市场优选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中高风险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530011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建信内生动力A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530010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建信上证社会责任ETF联接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中高风险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510090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建信上证社会责任ETF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中高风险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165309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建信沪深300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530009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建信收益增强A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中低风险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531009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建信收益增强C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中低风险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530006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建信核心精选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530008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建信稳定增利C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中低风险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530005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建信优化配置A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530003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建信优选成长A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530002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建信货币A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低风险</w:t>
            </w:r>
          </w:p>
        </w:tc>
      </w:tr>
      <w:tr w:rsidR="00B22EE9" w:rsidRPr="00B22EE9" w:rsidTr="00B22EE9">
        <w:trPr>
          <w:trHeight w:val="28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530001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建信恒久价值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9" w:rsidRPr="00B22EE9" w:rsidRDefault="00B22EE9" w:rsidP="00B22E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22E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中风险</w:t>
            </w:r>
          </w:p>
        </w:tc>
      </w:tr>
    </w:tbl>
    <w:p w:rsidR="00B22EE9" w:rsidRDefault="00B22EE9" w:rsidP="00233F85">
      <w:pPr>
        <w:widowControl/>
        <w:spacing w:line="360" w:lineRule="auto"/>
        <w:ind w:firstLineChars="200" w:firstLine="480"/>
        <w:jc w:val="left"/>
        <w:rPr>
          <w:color w:val="000000"/>
          <w:kern w:val="0"/>
          <w:sz w:val="24"/>
          <w:szCs w:val="21"/>
        </w:rPr>
      </w:pPr>
    </w:p>
    <w:p w:rsidR="00EE6DCA" w:rsidRPr="00233F85" w:rsidRDefault="00EE6DCA" w:rsidP="00233F85">
      <w:pPr>
        <w:widowControl/>
        <w:tabs>
          <w:tab w:val="left" w:pos="1134"/>
        </w:tabs>
        <w:spacing w:line="360" w:lineRule="auto"/>
        <w:ind w:firstLineChars="200" w:firstLine="482"/>
        <w:jc w:val="left"/>
        <w:rPr>
          <w:b/>
          <w:bCs/>
          <w:color w:val="000000"/>
          <w:kern w:val="0"/>
          <w:sz w:val="24"/>
          <w:szCs w:val="21"/>
        </w:rPr>
      </w:pPr>
      <w:bookmarkStart w:id="0" w:name="_GoBack"/>
      <w:bookmarkEnd w:id="0"/>
      <w:r w:rsidRPr="00233F85">
        <w:rPr>
          <w:rFonts w:hint="eastAsia"/>
          <w:b/>
          <w:bCs/>
          <w:color w:val="000000"/>
          <w:kern w:val="0"/>
          <w:sz w:val="24"/>
          <w:szCs w:val="21"/>
        </w:rPr>
        <w:t>风险提示：</w:t>
      </w:r>
    </w:p>
    <w:p w:rsidR="00EE6DCA" w:rsidRPr="00233F85" w:rsidRDefault="00EE6DCA" w:rsidP="00233F85">
      <w:pPr>
        <w:widowControl/>
        <w:numPr>
          <w:ilvl w:val="0"/>
          <w:numId w:val="1"/>
        </w:numPr>
        <w:tabs>
          <w:tab w:val="left" w:pos="1134"/>
        </w:tabs>
        <w:spacing w:line="360" w:lineRule="auto"/>
        <w:ind w:firstLineChars="200" w:firstLine="480"/>
        <w:jc w:val="left"/>
        <w:rPr>
          <w:color w:val="000000"/>
          <w:kern w:val="0"/>
          <w:sz w:val="24"/>
          <w:szCs w:val="21"/>
        </w:rPr>
      </w:pPr>
      <w:r w:rsidRPr="00233F85">
        <w:rPr>
          <w:rFonts w:hint="eastAsia"/>
          <w:color w:val="000000"/>
          <w:kern w:val="0"/>
          <w:sz w:val="24"/>
          <w:szCs w:val="21"/>
        </w:rPr>
        <w:t>销售机构</w:t>
      </w:r>
      <w:r w:rsidRPr="00233F85">
        <w:rPr>
          <w:rFonts w:hint="eastAsia"/>
          <w:color w:val="000000"/>
          <w:kern w:val="0"/>
          <w:sz w:val="24"/>
          <w:szCs w:val="21"/>
        </w:rPr>
        <w:t>(</w:t>
      </w:r>
      <w:r w:rsidRPr="00233F85">
        <w:rPr>
          <w:rFonts w:hint="eastAsia"/>
          <w:color w:val="000000"/>
          <w:kern w:val="0"/>
          <w:sz w:val="24"/>
          <w:szCs w:val="21"/>
        </w:rPr>
        <w:t>包括基金管理人直销机构和代销机构</w:t>
      </w:r>
      <w:r w:rsidRPr="00233F85">
        <w:rPr>
          <w:rFonts w:hint="eastAsia"/>
          <w:color w:val="000000"/>
          <w:kern w:val="0"/>
          <w:sz w:val="24"/>
          <w:szCs w:val="21"/>
        </w:rPr>
        <w:t>)</w:t>
      </w:r>
      <w:r w:rsidRPr="00233F85">
        <w:rPr>
          <w:rFonts w:hint="eastAsia"/>
          <w:color w:val="000000"/>
          <w:kern w:val="0"/>
          <w:sz w:val="24"/>
          <w:szCs w:val="21"/>
        </w:rPr>
        <w:t>根据投资者适当性法律法规对基金进行风险评价，不同的销售机构采用的评价方法不同，因此不同销售机构对基金的风险等级评价结果可能存在不同。</w:t>
      </w:r>
    </w:p>
    <w:p w:rsidR="00EE6DCA" w:rsidRPr="00233F85" w:rsidRDefault="00EE6DCA" w:rsidP="00233F85">
      <w:pPr>
        <w:widowControl/>
        <w:numPr>
          <w:ilvl w:val="0"/>
          <w:numId w:val="1"/>
        </w:numPr>
        <w:tabs>
          <w:tab w:val="left" w:pos="1134"/>
        </w:tabs>
        <w:spacing w:line="360" w:lineRule="auto"/>
        <w:ind w:firstLineChars="200" w:firstLine="480"/>
        <w:jc w:val="left"/>
        <w:rPr>
          <w:color w:val="000000"/>
          <w:kern w:val="0"/>
          <w:sz w:val="24"/>
          <w:szCs w:val="21"/>
        </w:rPr>
      </w:pPr>
      <w:r w:rsidRPr="00233F85">
        <w:rPr>
          <w:rFonts w:hint="eastAsia"/>
          <w:color w:val="000000"/>
          <w:kern w:val="0"/>
          <w:sz w:val="24"/>
          <w:szCs w:val="21"/>
        </w:rPr>
        <w:t>投资者购买基金后，所购买的基金产品风险等级可能因市场或运作情况而发生调整，并可能超出投资者自身风险承受能力，从而可能产生不利后果和损失。投资者应及时关注产品风险评级变动的</w:t>
      </w:r>
      <w:r w:rsidR="00233F85" w:rsidRPr="00233F85">
        <w:rPr>
          <w:rFonts w:hint="eastAsia"/>
          <w:color w:val="000000"/>
          <w:kern w:val="0"/>
          <w:sz w:val="24"/>
          <w:szCs w:val="21"/>
        </w:rPr>
        <w:t>情况</w:t>
      </w:r>
      <w:r w:rsidRPr="00233F85">
        <w:rPr>
          <w:rFonts w:hint="eastAsia"/>
          <w:color w:val="000000"/>
          <w:kern w:val="0"/>
          <w:sz w:val="24"/>
          <w:szCs w:val="21"/>
        </w:rPr>
        <w:t>并谨慎决策，以确保做出的投资决策已充分考虑了自身风险承受能力。</w:t>
      </w:r>
    </w:p>
    <w:p w:rsidR="00EE6DCA" w:rsidRDefault="00EE6DCA" w:rsidP="00233F85">
      <w:pPr>
        <w:widowControl/>
        <w:numPr>
          <w:ilvl w:val="0"/>
          <w:numId w:val="1"/>
        </w:numPr>
        <w:tabs>
          <w:tab w:val="left" w:pos="1134"/>
        </w:tabs>
        <w:spacing w:line="360" w:lineRule="auto"/>
        <w:ind w:firstLineChars="200" w:firstLine="480"/>
        <w:jc w:val="left"/>
        <w:rPr>
          <w:color w:val="000000"/>
          <w:kern w:val="0"/>
          <w:sz w:val="24"/>
          <w:szCs w:val="21"/>
        </w:rPr>
      </w:pPr>
      <w:r w:rsidRPr="00233F85">
        <w:rPr>
          <w:rFonts w:hint="eastAsia"/>
          <w:color w:val="000000"/>
          <w:kern w:val="0"/>
          <w:sz w:val="24"/>
          <w:szCs w:val="21"/>
        </w:rPr>
        <w:t>本公司承诺以诚实信用、勤勉尽责的原则管理和运用基金资产，但不保证基金一定盈利，也不保证最低收益。投资者投资前应认真阅读各基金的基金合同、招募说明书、产品资料概要等法律文件，了解所投资基金的风险收益特征，并根据自身风险承受能力选择适合自己的基金产品。敬请投资者注意投资风险。</w:t>
      </w:r>
    </w:p>
    <w:p w:rsidR="00233F85" w:rsidRDefault="00233F85" w:rsidP="00233F85">
      <w:pPr>
        <w:widowControl/>
        <w:tabs>
          <w:tab w:val="left" w:pos="1134"/>
        </w:tabs>
        <w:spacing w:line="360" w:lineRule="auto"/>
        <w:jc w:val="left"/>
        <w:rPr>
          <w:color w:val="000000"/>
          <w:kern w:val="0"/>
          <w:sz w:val="24"/>
          <w:szCs w:val="21"/>
        </w:rPr>
      </w:pPr>
    </w:p>
    <w:p w:rsidR="00233F85" w:rsidRPr="00233F85" w:rsidRDefault="00233F85" w:rsidP="00233F85">
      <w:pPr>
        <w:widowControl/>
        <w:tabs>
          <w:tab w:val="left" w:pos="1134"/>
        </w:tabs>
        <w:spacing w:line="360" w:lineRule="auto"/>
        <w:jc w:val="left"/>
        <w:rPr>
          <w:color w:val="000000"/>
          <w:kern w:val="0"/>
          <w:sz w:val="24"/>
          <w:szCs w:val="21"/>
        </w:rPr>
      </w:pPr>
    </w:p>
    <w:p w:rsidR="00EE6DCA" w:rsidRDefault="00233F85" w:rsidP="00233F85">
      <w:pPr>
        <w:widowControl/>
        <w:tabs>
          <w:tab w:val="left" w:pos="1134"/>
        </w:tabs>
        <w:spacing w:line="360" w:lineRule="auto"/>
        <w:jc w:val="right"/>
        <w:rPr>
          <w:color w:val="000000"/>
          <w:kern w:val="0"/>
          <w:sz w:val="24"/>
          <w:szCs w:val="21"/>
        </w:rPr>
      </w:pPr>
      <w:r w:rsidRPr="00233F85">
        <w:rPr>
          <w:rFonts w:hint="eastAsia"/>
          <w:color w:val="000000"/>
          <w:kern w:val="0"/>
          <w:sz w:val="24"/>
          <w:szCs w:val="21"/>
        </w:rPr>
        <w:t>建信基金管理有限责任公司</w:t>
      </w:r>
    </w:p>
    <w:p w:rsidR="000B2B79" w:rsidRPr="000418C7" w:rsidRDefault="00233F85" w:rsidP="000418C7">
      <w:pPr>
        <w:widowControl/>
        <w:tabs>
          <w:tab w:val="left" w:pos="1134"/>
        </w:tabs>
        <w:spacing w:line="360" w:lineRule="auto"/>
        <w:jc w:val="right"/>
        <w:rPr>
          <w:color w:val="000000"/>
          <w:kern w:val="0"/>
          <w:szCs w:val="21"/>
        </w:rPr>
      </w:pPr>
      <w:r w:rsidRPr="00233F85">
        <w:rPr>
          <w:rFonts w:hint="eastAsia"/>
          <w:color w:val="000000"/>
          <w:kern w:val="0"/>
          <w:sz w:val="24"/>
          <w:szCs w:val="21"/>
        </w:rPr>
        <w:t>2023</w:t>
      </w:r>
      <w:r w:rsidRPr="00233F85">
        <w:rPr>
          <w:rFonts w:hint="eastAsia"/>
          <w:color w:val="000000"/>
          <w:kern w:val="0"/>
          <w:sz w:val="24"/>
          <w:szCs w:val="21"/>
        </w:rPr>
        <w:t>年</w:t>
      </w:r>
      <w:r w:rsidRPr="00233F85">
        <w:rPr>
          <w:rFonts w:hint="eastAsia"/>
          <w:color w:val="000000"/>
          <w:kern w:val="0"/>
          <w:sz w:val="24"/>
          <w:szCs w:val="21"/>
        </w:rPr>
        <w:t>2</w:t>
      </w:r>
      <w:r w:rsidRPr="00233F85">
        <w:rPr>
          <w:rFonts w:hint="eastAsia"/>
          <w:color w:val="000000"/>
          <w:kern w:val="0"/>
          <w:sz w:val="24"/>
          <w:szCs w:val="21"/>
        </w:rPr>
        <w:t>月</w:t>
      </w:r>
      <w:r w:rsidR="000418C7">
        <w:rPr>
          <w:rFonts w:hint="eastAsia"/>
          <w:color w:val="000000"/>
          <w:kern w:val="0"/>
          <w:sz w:val="24"/>
          <w:szCs w:val="21"/>
        </w:rPr>
        <w:t>15</w:t>
      </w:r>
      <w:r w:rsidRPr="00233F85">
        <w:rPr>
          <w:rFonts w:hint="eastAsia"/>
          <w:color w:val="000000"/>
          <w:kern w:val="0"/>
          <w:sz w:val="24"/>
          <w:szCs w:val="21"/>
        </w:rPr>
        <w:t>日</w:t>
      </w:r>
    </w:p>
    <w:sectPr w:rsidR="000B2B79" w:rsidRPr="000418C7" w:rsidSect="00EE6D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C47" w:rsidRDefault="00A75C47" w:rsidP="009933B2">
      <w:r>
        <w:separator/>
      </w:r>
    </w:p>
  </w:endnote>
  <w:endnote w:type="continuationSeparator" w:id="0">
    <w:p w:rsidR="00A75C47" w:rsidRDefault="00A75C47" w:rsidP="00993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.擞.泍..">
    <w:altName w:val="宋体"/>
    <w:charset w:val="86"/>
    <w:family w:val="roman"/>
    <w:pitch w:val="default"/>
    <w:sig w:usb0="00000000" w:usb1="0000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C47" w:rsidRDefault="00A75C47" w:rsidP="009933B2">
      <w:r>
        <w:separator/>
      </w:r>
    </w:p>
  </w:footnote>
  <w:footnote w:type="continuationSeparator" w:id="0">
    <w:p w:rsidR="00A75C47" w:rsidRDefault="00A75C47" w:rsidP="009933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582896"/>
    <w:multiLevelType w:val="singleLevel"/>
    <w:tmpl w:val="88582896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TRmNzMxYWFkYWZkZTEyZGQ1ODhkOGQ5NzZiOGM2ZjkifQ=="/>
  </w:docVars>
  <w:rsids>
    <w:rsidRoot w:val="007B3F63"/>
    <w:rsid w:val="00003737"/>
    <w:rsid w:val="00004B1F"/>
    <w:rsid w:val="000418C7"/>
    <w:rsid w:val="000B2B79"/>
    <w:rsid w:val="000B2EA0"/>
    <w:rsid w:val="000B79E1"/>
    <w:rsid w:val="000F20F6"/>
    <w:rsid w:val="00123A33"/>
    <w:rsid w:val="001529A1"/>
    <w:rsid w:val="00173F9E"/>
    <w:rsid w:val="001905A3"/>
    <w:rsid w:val="001A5BF1"/>
    <w:rsid w:val="001C7234"/>
    <w:rsid w:val="00233F85"/>
    <w:rsid w:val="00252208"/>
    <w:rsid w:val="00274C63"/>
    <w:rsid w:val="002B020A"/>
    <w:rsid w:val="002E1815"/>
    <w:rsid w:val="003369ED"/>
    <w:rsid w:val="00342C51"/>
    <w:rsid w:val="003605CC"/>
    <w:rsid w:val="00366BC2"/>
    <w:rsid w:val="004C0950"/>
    <w:rsid w:val="004D1D5A"/>
    <w:rsid w:val="004E3905"/>
    <w:rsid w:val="0050237A"/>
    <w:rsid w:val="0056620E"/>
    <w:rsid w:val="005811F5"/>
    <w:rsid w:val="005A7F48"/>
    <w:rsid w:val="005E61DA"/>
    <w:rsid w:val="006435B2"/>
    <w:rsid w:val="006465F6"/>
    <w:rsid w:val="00667B65"/>
    <w:rsid w:val="00685A06"/>
    <w:rsid w:val="006E3F8A"/>
    <w:rsid w:val="007757BB"/>
    <w:rsid w:val="007B3F63"/>
    <w:rsid w:val="007B4398"/>
    <w:rsid w:val="007F4622"/>
    <w:rsid w:val="00892449"/>
    <w:rsid w:val="00965039"/>
    <w:rsid w:val="009933B2"/>
    <w:rsid w:val="009C1C37"/>
    <w:rsid w:val="009D229C"/>
    <w:rsid w:val="00A215E8"/>
    <w:rsid w:val="00A23B69"/>
    <w:rsid w:val="00A70B64"/>
    <w:rsid w:val="00A75C47"/>
    <w:rsid w:val="00AE0CC1"/>
    <w:rsid w:val="00B22EE9"/>
    <w:rsid w:val="00B935F7"/>
    <w:rsid w:val="00B94EEC"/>
    <w:rsid w:val="00BF4D3E"/>
    <w:rsid w:val="00C10626"/>
    <w:rsid w:val="00C212E3"/>
    <w:rsid w:val="00C50378"/>
    <w:rsid w:val="00C62904"/>
    <w:rsid w:val="00C77B8C"/>
    <w:rsid w:val="00CA5B41"/>
    <w:rsid w:val="00D52B18"/>
    <w:rsid w:val="00D7270A"/>
    <w:rsid w:val="00D76943"/>
    <w:rsid w:val="00DA0261"/>
    <w:rsid w:val="00E211BB"/>
    <w:rsid w:val="00E92E32"/>
    <w:rsid w:val="00EC2428"/>
    <w:rsid w:val="00EE6DCA"/>
    <w:rsid w:val="00F022EC"/>
    <w:rsid w:val="00F61F58"/>
    <w:rsid w:val="00F705A8"/>
    <w:rsid w:val="00FA221B"/>
    <w:rsid w:val="00FC51F3"/>
    <w:rsid w:val="038D3451"/>
    <w:rsid w:val="06A13B78"/>
    <w:rsid w:val="0C664B23"/>
    <w:rsid w:val="0D5B011C"/>
    <w:rsid w:val="127C5115"/>
    <w:rsid w:val="15455939"/>
    <w:rsid w:val="15C727F2"/>
    <w:rsid w:val="1F8C2F94"/>
    <w:rsid w:val="265B4821"/>
    <w:rsid w:val="50553DED"/>
    <w:rsid w:val="56F73FDE"/>
    <w:rsid w:val="5889399F"/>
    <w:rsid w:val="5CA37A21"/>
    <w:rsid w:val="786E6FB6"/>
    <w:rsid w:val="7FE8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uiPriority="0"/>
    <w:lsdException w:name="header" w:semiHidden="0" w:uiPriority="0"/>
    <w:lsdException w:name="footer" w:semiHidden="0"/>
    <w:lsdException w:name="caption" w:uiPriority="35" w:qFormat="1"/>
    <w:lsdException w:name="footnote reference" w:semiHidden="0" w:uiPriority="0" w:unhideWhenUsed="0"/>
    <w:lsdException w:name="annotation reference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Normal (Web)" w:semiHidden="0" w:qFormat="1"/>
    <w:lsdException w:name="annotation subject" w:uiPriority="0" w:unhideWhenUsed="0"/>
    <w:lsdException w:name="Table Classic 1" w:uiPriority="0"/>
    <w:lsdException w:name="Balloon Text" w:uiPriority="0"/>
    <w:lsdException w:name="Table Grid" w:uiPriority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3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6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semiHidden/>
    <w:rsid w:val="001A5BF1"/>
    <w:pPr>
      <w:shd w:val="clear" w:color="auto" w:fill="000080"/>
    </w:pPr>
  </w:style>
  <w:style w:type="paragraph" w:styleId="a4">
    <w:name w:val="annotation text"/>
    <w:basedOn w:val="a"/>
    <w:link w:val="Char0"/>
    <w:unhideWhenUsed/>
    <w:rsid w:val="001A5BF1"/>
    <w:pPr>
      <w:jc w:val="left"/>
    </w:pPr>
  </w:style>
  <w:style w:type="paragraph" w:styleId="a5">
    <w:name w:val="Balloon Text"/>
    <w:basedOn w:val="a"/>
    <w:link w:val="Char1"/>
    <w:semiHidden/>
    <w:rsid w:val="001A5BF1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1A5B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nhideWhenUsed/>
    <w:rsid w:val="001A5B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link w:val="Char4"/>
    <w:rsid w:val="001A5BF1"/>
    <w:pPr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2">
    <w:name w:val="toc 2"/>
    <w:basedOn w:val="a"/>
    <w:next w:val="a"/>
    <w:semiHidden/>
    <w:rsid w:val="001A5BF1"/>
    <w:pPr>
      <w:tabs>
        <w:tab w:val="left" w:pos="1050"/>
        <w:tab w:val="right" w:leader="dot" w:pos="8296"/>
      </w:tabs>
      <w:spacing w:line="360" w:lineRule="auto"/>
      <w:ind w:left="210"/>
      <w:jc w:val="left"/>
    </w:pPr>
    <w:rPr>
      <w:rFonts w:ascii="仿宋_GB2312"/>
      <w:b/>
      <w:smallCaps/>
      <w:szCs w:val="20"/>
    </w:rPr>
  </w:style>
  <w:style w:type="paragraph" w:styleId="a9">
    <w:name w:val="Normal (Web)"/>
    <w:basedOn w:val="a"/>
    <w:uiPriority w:val="99"/>
    <w:unhideWhenUsed/>
    <w:qFormat/>
    <w:rsid w:val="001A5B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annotation subject"/>
    <w:basedOn w:val="a4"/>
    <w:next w:val="a4"/>
    <w:link w:val="Char5"/>
    <w:semiHidden/>
    <w:rsid w:val="001A5BF1"/>
    <w:rPr>
      <w:b/>
      <w:bCs/>
    </w:rPr>
  </w:style>
  <w:style w:type="table" w:styleId="ab">
    <w:name w:val="Table Grid"/>
    <w:basedOn w:val="a1"/>
    <w:rsid w:val="001A5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Classic 1"/>
    <w:basedOn w:val="a1"/>
    <w:rsid w:val="001A5BF1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2">
    <w:name w:val="Light List Accent 2"/>
    <w:basedOn w:val="a1"/>
    <w:uiPriority w:val="66"/>
    <w:rsid w:val="001A5BF1"/>
    <w:rPr>
      <w:rFonts w:ascii="Cambria" w:hAnsi="Cambria"/>
      <w:color w:val="000000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-1">
    <w:name w:val="Medium Grid 2 Accent 1"/>
    <w:basedOn w:val="a1"/>
    <w:uiPriority w:val="63"/>
    <w:rsid w:val="001A5BF1"/>
    <w:tblPr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BE5F1"/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shd w:val="clear" w:color="auto" w:fill="FFFFFF"/>
      </w:tcPr>
    </w:tblStylePr>
  </w:style>
  <w:style w:type="character" w:styleId="ac">
    <w:name w:val="Strong"/>
    <w:basedOn w:val="a0"/>
    <w:uiPriority w:val="22"/>
    <w:qFormat/>
    <w:rsid w:val="001A5BF1"/>
    <w:rPr>
      <w:b/>
    </w:rPr>
  </w:style>
  <w:style w:type="character" w:styleId="ad">
    <w:name w:val="FollowedHyperlink"/>
    <w:uiPriority w:val="99"/>
    <w:unhideWhenUsed/>
    <w:rsid w:val="001A5BF1"/>
    <w:rPr>
      <w:color w:val="800080"/>
      <w:u w:val="single"/>
    </w:rPr>
  </w:style>
  <w:style w:type="character" w:styleId="ae">
    <w:name w:val="Hyperlink"/>
    <w:uiPriority w:val="99"/>
    <w:unhideWhenUsed/>
    <w:rsid w:val="001A5BF1"/>
    <w:rPr>
      <w:color w:val="0000FF"/>
      <w:u w:val="single"/>
    </w:rPr>
  </w:style>
  <w:style w:type="character" w:styleId="af">
    <w:name w:val="annotation reference"/>
    <w:semiHidden/>
    <w:rsid w:val="001A5BF1"/>
    <w:rPr>
      <w:sz w:val="21"/>
      <w:szCs w:val="21"/>
    </w:rPr>
  </w:style>
  <w:style w:type="character" w:styleId="af0">
    <w:name w:val="footnote reference"/>
    <w:rsid w:val="001A5BF1"/>
    <w:rPr>
      <w:vertAlign w:val="superscript"/>
    </w:rPr>
  </w:style>
  <w:style w:type="character" w:customStyle="1" w:styleId="Char3">
    <w:name w:val="页眉 Char"/>
    <w:basedOn w:val="a0"/>
    <w:link w:val="a7"/>
    <w:uiPriority w:val="99"/>
    <w:rsid w:val="001A5BF1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1A5BF1"/>
    <w:rPr>
      <w:sz w:val="18"/>
      <w:szCs w:val="18"/>
    </w:rPr>
  </w:style>
  <w:style w:type="character" w:customStyle="1" w:styleId="Char4">
    <w:name w:val="脚注文本 Char"/>
    <w:link w:val="a8"/>
    <w:qFormat/>
    <w:rsid w:val="001A5BF1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qFormat/>
    <w:rsid w:val="001A5BF1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rsid w:val="001A5BF1"/>
    <w:rPr>
      <w:rFonts w:ascii="Times New Roman" w:eastAsia="宋体" w:hAnsi="Times New Roman" w:cs="Times New Roman"/>
      <w:szCs w:val="24"/>
    </w:rPr>
  </w:style>
  <w:style w:type="character" w:customStyle="1" w:styleId="Char5">
    <w:name w:val="批注主题 Char"/>
    <w:basedOn w:val="Char0"/>
    <w:link w:val="aa"/>
    <w:semiHidden/>
    <w:rsid w:val="001A5BF1"/>
    <w:rPr>
      <w:rFonts w:ascii="Times New Roman" w:eastAsia="宋体" w:hAnsi="Times New Roman" w:cs="Times New Roman"/>
      <w:b/>
      <w:bCs/>
      <w:szCs w:val="24"/>
    </w:rPr>
  </w:style>
  <w:style w:type="character" w:customStyle="1" w:styleId="Char10">
    <w:name w:val="脚注文本 Char1"/>
    <w:basedOn w:val="a0"/>
    <w:uiPriority w:val="99"/>
    <w:semiHidden/>
    <w:rsid w:val="001A5BF1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文档结构图 Char"/>
    <w:basedOn w:val="a0"/>
    <w:link w:val="a3"/>
    <w:semiHidden/>
    <w:rsid w:val="001A5BF1"/>
    <w:rPr>
      <w:rFonts w:ascii="Times New Roman" w:eastAsia="宋体" w:hAnsi="Times New Roman" w:cs="Times New Roman"/>
      <w:szCs w:val="24"/>
      <w:shd w:val="clear" w:color="auto" w:fill="000080"/>
    </w:rPr>
  </w:style>
  <w:style w:type="paragraph" w:customStyle="1" w:styleId="xl79">
    <w:name w:val="xl79"/>
    <w:basedOn w:val="a"/>
    <w:rsid w:val="001A5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微软雅黑" w:eastAsia="微软雅黑" w:hAnsi="微软雅黑" w:cs="宋体"/>
      <w:kern w:val="0"/>
      <w:sz w:val="24"/>
    </w:rPr>
  </w:style>
  <w:style w:type="paragraph" w:customStyle="1" w:styleId="xl78">
    <w:name w:val="xl78"/>
    <w:basedOn w:val="a"/>
    <w:qFormat/>
    <w:rsid w:val="001A5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微软雅黑" w:eastAsia="微软雅黑" w:hAnsi="微软雅黑" w:cs="宋体"/>
      <w:kern w:val="0"/>
      <w:sz w:val="24"/>
    </w:rPr>
  </w:style>
  <w:style w:type="paragraph" w:customStyle="1" w:styleId="xl82">
    <w:name w:val="xl82"/>
    <w:basedOn w:val="a"/>
    <w:rsid w:val="001A5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微软雅黑" w:eastAsia="微软雅黑" w:hAnsi="微软雅黑" w:cs="宋体"/>
      <w:kern w:val="0"/>
      <w:sz w:val="24"/>
    </w:rPr>
  </w:style>
  <w:style w:type="paragraph" w:customStyle="1" w:styleId="xl77">
    <w:name w:val="xl77"/>
    <w:basedOn w:val="a"/>
    <w:rsid w:val="001A5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4"/>
    </w:rPr>
  </w:style>
  <w:style w:type="paragraph" w:customStyle="1" w:styleId="xl64">
    <w:name w:val="xl64"/>
    <w:basedOn w:val="a"/>
    <w:rsid w:val="001A5BF1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</w:rPr>
  </w:style>
  <w:style w:type="paragraph" w:customStyle="1" w:styleId="xl76">
    <w:name w:val="xl76"/>
    <w:basedOn w:val="a"/>
    <w:rsid w:val="001A5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</w:rPr>
  </w:style>
  <w:style w:type="paragraph" w:customStyle="1" w:styleId="xl67">
    <w:name w:val="xl67"/>
    <w:basedOn w:val="a"/>
    <w:rsid w:val="001A5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微软雅黑" w:eastAsia="微软雅黑" w:hAnsi="微软雅黑" w:cs="宋体"/>
      <w:kern w:val="0"/>
      <w:sz w:val="24"/>
    </w:rPr>
  </w:style>
  <w:style w:type="paragraph" w:customStyle="1" w:styleId="font6">
    <w:name w:val="font6"/>
    <w:basedOn w:val="a"/>
    <w:rsid w:val="001A5B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1A5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4"/>
    </w:rPr>
  </w:style>
  <w:style w:type="paragraph" w:customStyle="1" w:styleId="xl70">
    <w:name w:val="xl70"/>
    <w:basedOn w:val="a"/>
    <w:rsid w:val="001A5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微软雅黑" w:eastAsia="微软雅黑" w:hAnsi="微软雅黑" w:cs="宋体"/>
      <w:kern w:val="0"/>
      <w:sz w:val="24"/>
    </w:rPr>
  </w:style>
  <w:style w:type="paragraph" w:customStyle="1" w:styleId="xl74">
    <w:name w:val="xl74"/>
    <w:basedOn w:val="a"/>
    <w:rsid w:val="001A5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4"/>
    </w:rPr>
  </w:style>
  <w:style w:type="paragraph" w:customStyle="1" w:styleId="font5">
    <w:name w:val="font5"/>
    <w:basedOn w:val="a"/>
    <w:rsid w:val="001A5B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1A5BF1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</w:rPr>
  </w:style>
  <w:style w:type="paragraph" w:customStyle="1" w:styleId="xl72">
    <w:name w:val="xl72"/>
    <w:basedOn w:val="a"/>
    <w:rsid w:val="001A5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kern w:val="0"/>
      <w:sz w:val="24"/>
    </w:rPr>
  </w:style>
  <w:style w:type="paragraph" w:customStyle="1" w:styleId="xl73">
    <w:name w:val="xl73"/>
    <w:basedOn w:val="a"/>
    <w:rsid w:val="001A5BF1"/>
    <w:pPr>
      <w:widowControl/>
      <w:spacing w:before="100" w:beforeAutospacing="1" w:after="100" w:afterAutospacing="1"/>
      <w:jc w:val="left"/>
      <w:textAlignment w:val="top"/>
    </w:pPr>
    <w:rPr>
      <w:rFonts w:ascii="微软雅黑" w:eastAsia="微软雅黑" w:hAnsi="微软雅黑" w:cs="宋体"/>
      <w:kern w:val="0"/>
      <w:sz w:val="24"/>
    </w:rPr>
  </w:style>
  <w:style w:type="paragraph" w:customStyle="1" w:styleId="xl80">
    <w:name w:val="xl80"/>
    <w:basedOn w:val="a"/>
    <w:rsid w:val="001A5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微软雅黑" w:eastAsia="微软雅黑" w:hAnsi="微软雅黑" w:cs="宋体"/>
      <w:kern w:val="0"/>
      <w:sz w:val="24"/>
    </w:rPr>
  </w:style>
  <w:style w:type="paragraph" w:customStyle="1" w:styleId="xl71">
    <w:name w:val="xl71"/>
    <w:basedOn w:val="a"/>
    <w:rsid w:val="001A5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微软雅黑" w:eastAsia="微软雅黑" w:hAnsi="微软雅黑" w:cs="宋体"/>
      <w:kern w:val="0"/>
      <w:sz w:val="24"/>
    </w:rPr>
  </w:style>
  <w:style w:type="paragraph" w:customStyle="1" w:styleId="xl65">
    <w:name w:val="xl65"/>
    <w:basedOn w:val="a"/>
    <w:rsid w:val="001A5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</w:rPr>
  </w:style>
  <w:style w:type="paragraph" w:customStyle="1" w:styleId="xl68">
    <w:name w:val="xl68"/>
    <w:basedOn w:val="a"/>
    <w:rsid w:val="001A5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微软雅黑" w:eastAsia="微软雅黑" w:hAnsi="微软雅黑" w:cs="宋体"/>
      <w:kern w:val="0"/>
      <w:sz w:val="24"/>
    </w:rPr>
  </w:style>
  <w:style w:type="paragraph" w:customStyle="1" w:styleId="xl69">
    <w:name w:val="xl69"/>
    <w:basedOn w:val="a"/>
    <w:rsid w:val="001A5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微软雅黑" w:eastAsia="微软雅黑" w:hAnsi="微软雅黑" w:cs="宋体"/>
      <w:color w:val="FF0000"/>
      <w:kern w:val="0"/>
      <w:sz w:val="24"/>
    </w:rPr>
  </w:style>
  <w:style w:type="paragraph" w:customStyle="1" w:styleId="xl81">
    <w:name w:val="xl81"/>
    <w:basedOn w:val="a"/>
    <w:rsid w:val="001A5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微软雅黑" w:eastAsia="微软雅黑" w:hAnsi="微软雅黑" w:cs="宋体"/>
      <w:kern w:val="0"/>
      <w:sz w:val="24"/>
    </w:rPr>
  </w:style>
  <w:style w:type="table" w:customStyle="1" w:styleId="10">
    <w:name w:val="明显引用1"/>
    <w:basedOn w:val="a1"/>
    <w:uiPriority w:val="60"/>
    <w:qFormat/>
    <w:rsid w:val="001A5BF1"/>
    <w:rPr>
      <w:color w:val="365F91"/>
    </w:rPr>
    <w:tblPr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</w:tcPr>
    </w:tblStylePr>
  </w:style>
  <w:style w:type="paragraph" w:customStyle="1" w:styleId="Default">
    <w:name w:val="Default"/>
    <w:qFormat/>
    <w:rsid w:val="001A5BF1"/>
    <w:pPr>
      <w:widowControl w:val="0"/>
      <w:autoSpaceDE w:val="0"/>
      <w:autoSpaceDN w:val="0"/>
      <w:adjustRightInd w:val="0"/>
    </w:pPr>
    <w:rPr>
      <w:rFonts w:ascii="宋体.擞.泍.." w:eastAsia="宋体.擞.泍.." w:cs="宋体.擞.泍.."/>
      <w:color w:val="000000"/>
      <w:sz w:val="24"/>
      <w:szCs w:val="24"/>
    </w:rPr>
  </w:style>
  <w:style w:type="character" w:customStyle="1" w:styleId="11">
    <w:name w:val="未处理的提及1"/>
    <w:basedOn w:val="a0"/>
    <w:uiPriority w:val="99"/>
    <w:semiHidden/>
    <w:unhideWhenUsed/>
    <w:rsid w:val="00F022EC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366BC2"/>
    <w:rPr>
      <w:kern w:val="2"/>
      <w:sz w:val="21"/>
      <w:szCs w:val="24"/>
    </w:rPr>
  </w:style>
  <w:style w:type="paragraph" w:customStyle="1" w:styleId="font7">
    <w:name w:val="font7"/>
    <w:basedOn w:val="a"/>
    <w:rsid w:val="00123A3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uiPriority="0"/>
    <w:lsdException w:name="header" w:semiHidden="0" w:uiPriority="0"/>
    <w:lsdException w:name="footer" w:semiHidden="0"/>
    <w:lsdException w:name="caption" w:uiPriority="35" w:qFormat="1"/>
    <w:lsdException w:name="footnote reference" w:semiHidden="0" w:uiPriority="0" w:unhideWhenUsed="0"/>
    <w:lsdException w:name="annotation reference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Normal (Web)" w:semiHidden="0" w:qFormat="1"/>
    <w:lsdException w:name="annotation subject" w:uiPriority="0" w:unhideWhenUsed="0"/>
    <w:lsdException w:name="Table Classic 1" w:uiPriority="0"/>
    <w:lsdException w:name="Balloon Text" w:uiPriority="0"/>
    <w:lsdException w:name="Table Grid" w:uiPriority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3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6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semiHidden/>
    <w:pPr>
      <w:shd w:val="clear" w:color="auto" w:fill="000080"/>
    </w:pPr>
  </w:style>
  <w:style w:type="paragraph" w:styleId="a4">
    <w:name w:val="annotation text"/>
    <w:basedOn w:val="a"/>
    <w:link w:val="Char0"/>
    <w:unhideWhenUsed/>
    <w:pPr>
      <w:jc w:val="left"/>
    </w:pPr>
  </w:style>
  <w:style w:type="paragraph" w:styleId="a5">
    <w:name w:val="Balloon Text"/>
    <w:basedOn w:val="a"/>
    <w:link w:val="Char1"/>
    <w:semiHidden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link w:val="Char4"/>
    <w:pPr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2">
    <w:name w:val="toc 2"/>
    <w:basedOn w:val="a"/>
    <w:next w:val="a"/>
    <w:semiHidden/>
    <w:pPr>
      <w:tabs>
        <w:tab w:val="left" w:pos="1050"/>
        <w:tab w:val="right" w:leader="dot" w:pos="8296"/>
      </w:tabs>
      <w:spacing w:line="360" w:lineRule="auto"/>
      <w:ind w:left="210"/>
      <w:jc w:val="left"/>
    </w:pPr>
    <w:rPr>
      <w:rFonts w:ascii="仿宋_GB2312"/>
      <w:b/>
      <w:smallCaps/>
      <w:szCs w:val="20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annotation subject"/>
    <w:basedOn w:val="a4"/>
    <w:next w:val="a4"/>
    <w:link w:val="Char5"/>
    <w:semiHidden/>
    <w:rPr>
      <w:b/>
      <w:bCs/>
    </w:rPr>
  </w:style>
  <w:style w:type="table" w:styleId="ab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Classic 1"/>
    <w:basedOn w:val="a1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2">
    <w:name w:val="Light List Accent 2"/>
    <w:basedOn w:val="a1"/>
    <w:uiPriority w:val="66"/>
    <w:rPr>
      <w:rFonts w:ascii="Cambria" w:hAnsi="Cambria"/>
      <w:color w:val="000000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-1">
    <w:name w:val="Medium Grid 2 Accent 1"/>
    <w:basedOn w:val="a1"/>
    <w:uiPriority w:val="63"/>
    <w:tblPr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BE5F1"/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shd w:val="clear" w:color="auto" w:fill="FFFFFF"/>
      </w:tcPr>
    </w:tblStylePr>
  </w:style>
  <w:style w:type="character" w:styleId="ac">
    <w:name w:val="Strong"/>
    <w:basedOn w:val="a0"/>
    <w:uiPriority w:val="22"/>
    <w:qFormat/>
    <w:rPr>
      <w:b/>
    </w:rPr>
  </w:style>
  <w:style w:type="character" w:styleId="ad">
    <w:name w:val="FollowedHyperlink"/>
    <w:uiPriority w:val="99"/>
    <w:unhideWhenUsed/>
    <w:rPr>
      <w:color w:val="800080"/>
      <w:u w:val="single"/>
    </w:rPr>
  </w:style>
  <w:style w:type="character" w:styleId="ae">
    <w:name w:val="Hyperlink"/>
    <w:uiPriority w:val="99"/>
    <w:unhideWhenUsed/>
    <w:rPr>
      <w:color w:val="0000FF"/>
      <w:u w:val="single"/>
    </w:rPr>
  </w:style>
  <w:style w:type="character" w:styleId="af">
    <w:name w:val="annotation reference"/>
    <w:semiHidden/>
    <w:rPr>
      <w:sz w:val="21"/>
      <w:szCs w:val="21"/>
    </w:rPr>
  </w:style>
  <w:style w:type="character" w:styleId="af0">
    <w:name w:val="footnote reference"/>
    <w:rPr>
      <w:vertAlign w:val="superscript"/>
    </w:rPr>
  </w:style>
  <w:style w:type="character" w:customStyle="1" w:styleId="Char3">
    <w:name w:val="页眉 Char"/>
    <w:basedOn w:val="a0"/>
    <w:link w:val="a7"/>
    <w:uiPriority w:val="99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sz w:val="18"/>
      <w:szCs w:val="18"/>
    </w:rPr>
  </w:style>
  <w:style w:type="character" w:customStyle="1" w:styleId="Char4">
    <w:name w:val="脚注文本 Char"/>
    <w:link w:val="a8"/>
    <w:qFormat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rPr>
      <w:rFonts w:ascii="Times New Roman" w:eastAsia="宋体" w:hAnsi="Times New Roman" w:cs="Times New Roman"/>
      <w:szCs w:val="24"/>
    </w:rPr>
  </w:style>
  <w:style w:type="character" w:customStyle="1" w:styleId="Char5">
    <w:name w:val="批注主题 Char"/>
    <w:basedOn w:val="Char0"/>
    <w:link w:val="aa"/>
    <w:semiHidden/>
    <w:rPr>
      <w:rFonts w:ascii="Times New Roman" w:eastAsia="宋体" w:hAnsi="Times New Roman" w:cs="Times New Roman"/>
      <w:b/>
      <w:bCs/>
      <w:szCs w:val="24"/>
    </w:rPr>
  </w:style>
  <w:style w:type="character" w:customStyle="1" w:styleId="Char10">
    <w:name w:val="脚注文本 Char1"/>
    <w:basedOn w:val="a0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文档结构图 Char"/>
    <w:basedOn w:val="a0"/>
    <w:link w:val="a3"/>
    <w:semiHidden/>
    <w:rPr>
      <w:rFonts w:ascii="Times New Roman" w:eastAsia="宋体" w:hAnsi="Times New Roman" w:cs="Times New Roman"/>
      <w:szCs w:val="24"/>
      <w:shd w:val="clear" w:color="auto" w:fill="000080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微软雅黑" w:eastAsia="微软雅黑" w:hAnsi="微软雅黑" w:cs="宋体"/>
      <w:kern w:val="0"/>
      <w:sz w:val="24"/>
    </w:rPr>
  </w:style>
  <w:style w:type="paragraph" w:customStyle="1" w:styleId="xl78">
    <w:name w:val="xl7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微软雅黑" w:eastAsia="微软雅黑" w:hAnsi="微软雅黑" w:cs="宋体"/>
      <w:kern w:val="0"/>
      <w:sz w:val="24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微软雅黑" w:eastAsia="微软雅黑" w:hAnsi="微软雅黑" w:cs="宋体"/>
      <w:kern w:val="0"/>
      <w:sz w:val="24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4"/>
    </w:rPr>
  </w:style>
  <w:style w:type="paragraph" w:customStyle="1" w:styleId="xl64">
    <w:name w:val="xl64"/>
    <w:basedOn w:val="a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微软雅黑" w:eastAsia="微软雅黑" w:hAnsi="微软雅黑" w:cs="宋体"/>
      <w:kern w:val="0"/>
      <w:sz w:val="24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5">
    <w:name w:val="xl7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4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微软雅黑" w:eastAsia="微软雅黑" w:hAnsi="微软雅黑" w:cs="宋体"/>
      <w:kern w:val="0"/>
      <w:sz w:val="24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4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6">
    <w:name w:val="xl66"/>
    <w:basedOn w:val="a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kern w:val="0"/>
      <w:sz w:val="24"/>
    </w:rPr>
  </w:style>
  <w:style w:type="paragraph" w:customStyle="1" w:styleId="xl73">
    <w:name w:val="xl73"/>
    <w:basedOn w:val="a"/>
    <w:pPr>
      <w:widowControl/>
      <w:spacing w:before="100" w:beforeAutospacing="1" w:after="100" w:afterAutospacing="1"/>
      <w:jc w:val="left"/>
      <w:textAlignment w:val="top"/>
    </w:pPr>
    <w:rPr>
      <w:rFonts w:ascii="微软雅黑" w:eastAsia="微软雅黑" w:hAnsi="微软雅黑" w:cs="宋体"/>
      <w:kern w:val="0"/>
      <w:sz w:val="24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微软雅黑" w:eastAsia="微软雅黑" w:hAnsi="微软雅黑" w:cs="宋体"/>
      <w:kern w:val="0"/>
      <w:sz w:val="24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微软雅黑" w:eastAsia="微软雅黑" w:hAnsi="微软雅黑" w:cs="宋体"/>
      <w:kern w:val="0"/>
      <w:sz w:val="24"/>
    </w:rPr>
  </w:style>
  <w:style w:type="paragraph" w:customStyle="1" w:styleId="xl65">
    <w:name w:val="xl6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微软雅黑" w:eastAsia="微软雅黑" w:hAnsi="微软雅黑" w:cs="宋体"/>
      <w:kern w:val="0"/>
      <w:sz w:val="24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微软雅黑" w:eastAsia="微软雅黑" w:hAnsi="微软雅黑" w:cs="宋体"/>
      <w:color w:val="FF0000"/>
      <w:kern w:val="0"/>
      <w:sz w:val="24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微软雅黑" w:eastAsia="微软雅黑" w:hAnsi="微软雅黑" w:cs="宋体"/>
      <w:kern w:val="0"/>
      <w:sz w:val="24"/>
    </w:rPr>
  </w:style>
  <w:style w:type="table" w:customStyle="1" w:styleId="10">
    <w:name w:val="明显引用1"/>
    <w:basedOn w:val="a1"/>
    <w:uiPriority w:val="60"/>
    <w:qFormat/>
    <w:rPr>
      <w:color w:val="365F91"/>
    </w:rPr>
    <w:tblPr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</w:tcPr>
    </w:tblStyle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.擞.泍.." w:eastAsia="宋体.擞.泍.." w:cs="宋体.擞.泍.."/>
      <w:color w:val="000000"/>
      <w:sz w:val="24"/>
      <w:szCs w:val="24"/>
    </w:rPr>
  </w:style>
  <w:style w:type="character" w:customStyle="1" w:styleId="11">
    <w:name w:val="未处理的提及1"/>
    <w:basedOn w:val="a0"/>
    <w:uiPriority w:val="99"/>
    <w:semiHidden/>
    <w:unhideWhenUsed/>
    <w:rsid w:val="00F022EC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366BC2"/>
    <w:rPr>
      <w:kern w:val="2"/>
      <w:sz w:val="21"/>
      <w:szCs w:val="24"/>
    </w:rPr>
  </w:style>
  <w:style w:type="paragraph" w:customStyle="1" w:styleId="font7">
    <w:name w:val="font7"/>
    <w:basedOn w:val="a"/>
    <w:rsid w:val="00123A3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F7CA5-6D5D-4668-9E75-366B3FCED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1088</Words>
  <Characters>6207</Characters>
  <Application>Microsoft Office Word</Application>
  <DocSecurity>4</DocSecurity>
  <Lines>51</Lines>
  <Paragraphs>14</Paragraphs>
  <ScaleCrop>false</ScaleCrop>
  <Company/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任佳</dc:creator>
  <cp:lastModifiedBy>ZHONGM</cp:lastModifiedBy>
  <cp:revision>2</cp:revision>
  <dcterms:created xsi:type="dcterms:W3CDTF">2023-02-14T16:01:00Z</dcterms:created>
  <dcterms:modified xsi:type="dcterms:W3CDTF">2023-02-14T16:01:00Z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95AF6C1AB3E94BF79E1E9E8DA922CAA9</vt:lpwstr>
  </property>
</Properties>
</file>