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A" w:rsidRPr="00EC7826" w:rsidRDefault="00854AFF" w:rsidP="00970B8E">
      <w:pPr>
        <w:jc w:val="center"/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</w:pPr>
      <w:r w:rsidRPr="00EC7826"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  <w:t>关于泰达宏利基金管理有限公司旗下部分基金新增</w:t>
      </w:r>
      <w:r w:rsidR="00972ABF" w:rsidRPr="00EC7826"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  <w:t>博时财富基金销售有限公司</w:t>
      </w:r>
      <w:r w:rsidRPr="00EC7826">
        <w:rPr>
          <w:rFonts w:ascii="Times New Roman" w:eastAsia="微软雅黑" w:hAnsi="Times New Roman" w:cs="Times New Roman"/>
          <w:b/>
          <w:color w:val="000000" w:themeColor="text1"/>
          <w:sz w:val="24"/>
          <w:szCs w:val="24"/>
        </w:rPr>
        <w:t>为销售机构的公告</w:t>
      </w:r>
    </w:p>
    <w:p w:rsidR="00F91F18" w:rsidRPr="00EC7826" w:rsidRDefault="008843EA" w:rsidP="00B5573E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根据泰达宏利基金管理有限公司（以下简称</w:t>
      </w:r>
      <w:r w:rsidR="004517D4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本公司</w:t>
      </w:r>
      <w:r w:rsidR="004517D4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）与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博时财富基金销售有限公</w:t>
      </w:r>
      <w:bookmarkStart w:id="0" w:name="_GoBack"/>
      <w:bookmarkEnd w:id="0"/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司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（下称</w:t>
      </w:r>
      <w:r w:rsidR="004517D4">
        <w:rPr>
          <w:rFonts w:ascii="Times New Roman" w:eastAsia="宋体" w:hAnsi="Times New Roman" w:cs="Times New Roman" w:hint="eastAsia"/>
          <w:color w:val="000000" w:themeColor="text1"/>
          <w:szCs w:val="21"/>
        </w:rPr>
        <w:t>“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博时财富</w:t>
      </w:r>
      <w:r w:rsidR="004517D4">
        <w:rPr>
          <w:rFonts w:ascii="Times New Roman" w:eastAsia="宋体" w:hAnsi="Times New Roman" w:cs="Times New Roman" w:hint="eastAsia"/>
          <w:color w:val="000000" w:themeColor="text1"/>
          <w:szCs w:val="21"/>
        </w:rPr>
        <w:t>”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）签署的销售协议，自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2023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1236D4" w:rsidRPr="00EC7826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122C0D" w:rsidRPr="00EC782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="00122C0D">
        <w:rPr>
          <w:rFonts w:ascii="Times New Roman" w:eastAsia="宋体" w:hAnsi="Times New Roman" w:cs="Times New Roman"/>
          <w:color w:val="000000" w:themeColor="text1"/>
          <w:szCs w:val="21"/>
        </w:rPr>
        <w:t>7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日起，</w:t>
      </w:r>
      <w:r w:rsidR="00854AFF" w:rsidRPr="00EC7826">
        <w:rPr>
          <w:rFonts w:ascii="Times New Roman" w:eastAsia="宋体" w:hAnsi="Times New Roman" w:cs="Times New Roman"/>
          <w:color w:val="000000" w:themeColor="text1"/>
          <w:szCs w:val="21"/>
        </w:rPr>
        <w:t>本公司旗下部分基金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增加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博时财富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为销售机构，投资者可以通过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博时财富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交易系统办理本基金的开户、申购、赎回、定期定额</w:t>
      </w:r>
      <w:r w:rsidR="001E20F0" w:rsidRPr="00EC7826">
        <w:rPr>
          <w:rFonts w:ascii="Times New Roman" w:eastAsia="宋体" w:hAnsi="Times New Roman" w:cs="Times New Roman"/>
          <w:color w:val="000000" w:themeColor="text1"/>
          <w:szCs w:val="21"/>
        </w:rPr>
        <w:t>投资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、基金转换等业务。</w:t>
      </w:r>
    </w:p>
    <w:p w:rsidR="00854AFF" w:rsidRPr="00EC7826" w:rsidRDefault="00854AFF" w:rsidP="00854AF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新增</w:t>
      </w:r>
      <w:r w:rsidR="00972ABF" w:rsidRPr="00EC7826">
        <w:rPr>
          <w:rFonts w:ascii="Times New Roman" w:eastAsia="宋体" w:hAnsi="Times New Roman" w:cs="Times New Roman"/>
          <w:color w:val="000000" w:themeColor="text1"/>
          <w:szCs w:val="21"/>
        </w:rPr>
        <w:t>博时财富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为销售机构的基金</w:t>
      </w:r>
    </w:p>
    <w:tbl>
      <w:tblPr>
        <w:tblW w:w="5042" w:type="pct"/>
        <w:jc w:val="center"/>
        <w:tblLook w:val="04A0"/>
      </w:tblPr>
      <w:tblGrid>
        <w:gridCol w:w="870"/>
        <w:gridCol w:w="6184"/>
        <w:gridCol w:w="1540"/>
      </w:tblGrid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FF" w:rsidRPr="00EC7826" w:rsidRDefault="00854AFF" w:rsidP="0041512C">
            <w:pPr>
              <w:widowControl/>
              <w:ind w:left="420" w:hanging="42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F" w:rsidRPr="00EC7826" w:rsidRDefault="00C0479B" w:rsidP="0041512C">
            <w:pPr>
              <w:widowControl/>
              <w:ind w:left="420" w:hanging="42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基金名称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FF" w:rsidRPr="00EC7826" w:rsidRDefault="00854AFF" w:rsidP="0041512C">
            <w:pPr>
              <w:widowControl/>
              <w:ind w:left="420" w:hanging="42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基金</w:t>
            </w:r>
            <w:r w:rsidR="00C0479B"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代码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泰达宏利淘利债券型证券投资基金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000319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泰达宏利淘利债券型证券投资基金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000320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泰达宏利宏达混合型证券投资基金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000507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泰达宏利宏达混合型证券投资基金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0479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000508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泰达宏利改革动力量化策略灵活配置混合型证券投资基金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001017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泰达宏利改革动力量化策略灵活配置混合型证券投资基金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003550</w:t>
            </w:r>
          </w:p>
        </w:tc>
      </w:tr>
      <w:tr w:rsidR="00EC7826" w:rsidRPr="00EC7826" w:rsidTr="00AD39D2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泰达宏利复兴伟业灵活配置混合型证券投资基金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001170</w:t>
            </w:r>
          </w:p>
        </w:tc>
      </w:tr>
      <w:tr w:rsidR="00EC7826" w:rsidRPr="00EC7826" w:rsidTr="00AD39D2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泰达宏利活期友货币市场基金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001894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泰达宏利汇利债券型证券投资基金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003073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泰达宏利汇利债券型证券投资基金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003074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泰达宏利京元宝货币市场基金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003711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泰达宏利京元宝货币市场基金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22036B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003712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泰达宏利纯利债券型证券投资基金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003767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泰达宏利纯利债券型证券投资基金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003768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泰达宏利溢利债券型证券投资基金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003793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泰达宏利溢利债券型证券投资基金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003794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/>
              </w:rPr>
              <w:t>泰达宏利恒利债券型证券投资基金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004001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/>
              </w:rPr>
              <w:t>泰达宏利恒利债券型证券投资基金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004002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泰达宏利全能优选证券投资基金（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005221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泰达宏利全能优选证券投资基金（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005222</w:t>
            </w:r>
          </w:p>
        </w:tc>
      </w:tr>
      <w:tr w:rsidR="00EC7826" w:rsidRPr="00EC7826" w:rsidTr="00D74EBA">
        <w:trPr>
          <w:trHeight w:val="300"/>
          <w:jc w:val="center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AE" w:rsidRPr="00EC7826" w:rsidRDefault="003142AE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AE" w:rsidRPr="00EC7826" w:rsidRDefault="003142AE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泰达宏利绩优增长灵活配置混合型证券投资基金</w:t>
            </w:r>
            <w:r w:rsidRPr="00EC78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AE" w:rsidRPr="00EC7826" w:rsidRDefault="003142AE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0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05903</w:t>
            </w:r>
          </w:p>
        </w:tc>
      </w:tr>
      <w:tr w:rsidR="00EC7826" w:rsidRPr="00EC7826" w:rsidTr="00D74EBA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AE" w:rsidRPr="00EC7826" w:rsidRDefault="003142AE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AE" w:rsidRPr="00EC7826" w:rsidRDefault="003142AE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泰达宏利绩优增长灵活配置混合型证券投资基金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AE" w:rsidRPr="00EC7826" w:rsidRDefault="003142AE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015576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837" w:rsidRPr="00EC7826" w:rsidRDefault="00032837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37" w:rsidRPr="00EC7826" w:rsidRDefault="00032837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泰达宏利泰和平衡养老目标三年持有期混合型基金中基金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37" w:rsidRPr="00EC7826" w:rsidRDefault="00551D91" w:rsidP="0003283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006306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769" w:rsidRPr="00EC7826" w:rsidRDefault="00C12769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69" w:rsidRPr="00EC7826" w:rsidRDefault="00C12769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泰达宏利永利债券型证券投资基金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69" w:rsidRPr="00EC7826" w:rsidRDefault="00C12769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007640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泰达宏利养老目标日期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2040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三年持有期混合型发起式基金中基金（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007688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泰达宏利养老目标日期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2040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三年持有期混合型发起式基金中基金（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007694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1AA" w:rsidRPr="00EC7826" w:rsidRDefault="005731AA" w:rsidP="005731A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泰达宏利养老目标日期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2040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三年持有期混合型发起式基金中基金（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AA" w:rsidRPr="00EC7826" w:rsidRDefault="005731AA" w:rsidP="00C127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007695</w:t>
            </w:r>
          </w:p>
        </w:tc>
      </w:tr>
      <w:tr w:rsidR="000867DB" w:rsidRPr="00EC7826" w:rsidTr="000867DB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DB" w:rsidRPr="00EC7826" w:rsidRDefault="000867DB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DB" w:rsidRPr="00EC7826" w:rsidRDefault="000867DB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泰达宏利消费行业量化精选混合型证券投资基金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DB" w:rsidRPr="00EC7826" w:rsidRDefault="000867DB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008353</w:t>
            </w:r>
          </w:p>
        </w:tc>
      </w:tr>
      <w:tr w:rsidR="000867DB" w:rsidRPr="00EC7826" w:rsidTr="000151A8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DB" w:rsidRPr="00EC7826" w:rsidRDefault="000867DB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DB" w:rsidRPr="00EC7826" w:rsidRDefault="000867DB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泰达宏利消费行业量化精选混合型证券投资基金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DB" w:rsidRPr="00EC7826" w:rsidRDefault="000867DB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008354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泰达宏利价值长青混合型证券投资基金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009141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泰达宏利价值长青混合型证券投资基金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009142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泰达宏利中证申万绩优策略指数增强型证券投资基金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009194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泰达宏利中证申万绩优策略指数增强型证券投资基金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009195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泰达宏利泰和稳健养老目标一年持有期混合型基金中基金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(FOF)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009355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泰达宏利乐盈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66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个月定期开放债券型证券投资基金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009814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泰达宏利乐盈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66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个月定期开放债券型证券投资基金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009815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泰达宏利波控回报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12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个月持有期混合型证券投资基金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010845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泰达宏利中债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1-5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年国开行债券指数证券投资基金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011234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泰达宏利中债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1-5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年国开行债券指数证券投资基金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011235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泰达宏利消费服务混合型证券投资基金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011431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泰达宏利消费服务混合型证券投资基金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011432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泰达宏利新兴景气龙头混合型证券投资基金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012382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泰达宏利新兴景气龙头混合型证券投资基金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012383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泰达宏利悠然养老目标日期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2025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一年持有期混合型基金中基金（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013245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泰达宏利先进制造股票型证券投资基金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014299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泰达宏利先进制造股票型证券投资基金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014300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泰达宏利景气智选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个月持有期混合型证券投资基金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014807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泰达宏利景气智选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18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个月持有期混合型证券投资基金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014808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泰达宏利价值优化型成长类行业混合型证券投资基金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泰达宏利价值优化型周期类行业混合型证券投资基金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162202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泰达宏利价值优化型稳定类行业混合型证券投资基金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162203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泰达宏利行业精选混合型证券投资基金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162204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泰达宏利行业精选混合型证券投资基金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015601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泰达宏利风险预算混合型证券投资基金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162205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泰达宏利货币市场基金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162206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泰达宏利货币市场基金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B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000700</w:t>
            </w:r>
          </w:p>
        </w:tc>
      </w:tr>
      <w:tr w:rsidR="00EC7826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07A" w:rsidRPr="00EC7826" w:rsidRDefault="007A107A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泰达宏利效率优选混合型证券投资基金（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7A" w:rsidRPr="00EC7826" w:rsidRDefault="007A107A" w:rsidP="007A107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162207</w:t>
            </w:r>
          </w:p>
        </w:tc>
      </w:tr>
      <w:tr w:rsidR="00AD0678" w:rsidRPr="00EC7826" w:rsidTr="008D2282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AD0678" w:rsidRDefault="00AD0678" w:rsidP="007A107A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AD0678" w:rsidRDefault="00AD0678" w:rsidP="007A107A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D067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泰达宏利首选企业股票型证券投资基金</w:t>
            </w:r>
            <w:r w:rsidRPr="00AD0678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AD0678" w:rsidRDefault="00AD0678" w:rsidP="007A107A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D0678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162208</w:t>
            </w:r>
          </w:p>
        </w:tc>
      </w:tr>
      <w:tr w:rsidR="00AD0678" w:rsidRPr="00EC7826" w:rsidTr="008D2282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AD0678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AD0678" w:rsidRDefault="00AD0678" w:rsidP="00AD067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D067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泰达宏利首选企业股票型证券投资基金C类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AD0678" w:rsidRDefault="00AD0678" w:rsidP="00AD0678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AD0678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017289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泰达宏利市值优选混合型证券投资基金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162209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泰达宏利集利债券型证券投资基金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162210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泰达宏利集利债券型证券投资基金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162299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泰达宏利品质生活灵活配置混合型证券投资基金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162211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泰达宏利红利先锋混合型证券投资基金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162212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泰达宏利红利先锋混合型证券投资基金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015619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泰达宏利沪深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300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指数增强型证券投资基金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A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162213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泰达宏利沪深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300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指数增强型证券投资基金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003548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泰达宏利领先中小盘混合型证券投资基金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162214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泰达宏利聚利债券型证券投资基金（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LOF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162215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泰达宏利中证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500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指数增强型证券投资基金</w:t>
            </w: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(LOF)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162216</w:t>
            </w:r>
          </w:p>
        </w:tc>
      </w:tr>
      <w:tr w:rsidR="00AD0678" w:rsidRPr="00EC7826" w:rsidTr="003142AE">
        <w:trPr>
          <w:trHeight w:val="30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678" w:rsidRPr="00EC7826" w:rsidRDefault="00AD0678" w:rsidP="00AD067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泰达宏利逆向策略混合型证券投资基金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78" w:rsidRPr="00EC7826" w:rsidRDefault="00AD0678" w:rsidP="00AD067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7826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229002</w:t>
            </w:r>
          </w:p>
        </w:tc>
      </w:tr>
    </w:tbl>
    <w:p w:rsidR="00854AFF" w:rsidRPr="00EC7826" w:rsidRDefault="00854AFF" w:rsidP="00854AFF">
      <w:pPr>
        <w:spacing w:line="360" w:lineRule="auto"/>
        <w:ind w:left="420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646DA3" w:rsidRPr="00EC7826" w:rsidRDefault="001D48FE" w:rsidP="00646DA3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二</w:t>
      </w:r>
      <w:r w:rsidR="00F91F18" w:rsidRPr="00EC782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="00646DA3" w:rsidRPr="00EC7826">
        <w:rPr>
          <w:rFonts w:ascii="宋体" w:eastAsia="宋体" w:hAnsi="宋体" w:hint="eastAsia"/>
          <w:color w:val="000000" w:themeColor="text1"/>
          <w:szCs w:val="21"/>
        </w:rPr>
        <w:t>重要提示</w:t>
      </w:r>
    </w:p>
    <w:p w:rsidR="00646DA3" w:rsidRPr="00EC7826" w:rsidRDefault="00646DA3" w:rsidP="00646DA3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EC7826">
        <w:rPr>
          <w:rFonts w:ascii="宋体" w:eastAsia="宋体" w:hAnsi="宋体" w:hint="eastAsia"/>
          <w:color w:val="000000" w:themeColor="text1"/>
          <w:szCs w:val="21"/>
        </w:rPr>
        <w:t>投资者在</w:t>
      </w:r>
      <w:r w:rsidR="00551D91" w:rsidRPr="00EC7826">
        <w:rPr>
          <w:rFonts w:ascii="宋体" w:eastAsia="宋体" w:hAnsi="宋体" w:hint="eastAsia"/>
          <w:color w:val="000000" w:themeColor="text1"/>
          <w:szCs w:val="21"/>
        </w:rPr>
        <w:t>博时财富</w:t>
      </w:r>
      <w:r w:rsidRPr="00EC7826">
        <w:rPr>
          <w:rFonts w:ascii="宋体" w:eastAsia="宋体" w:hAnsi="宋体" w:hint="eastAsia"/>
          <w:color w:val="000000" w:themeColor="text1"/>
          <w:szCs w:val="21"/>
        </w:rPr>
        <w:t>办理本基金的开户、申购、赎回、定期定额投资、基金转换等业务应了解本基金的详细情况，具体可登录本公司网站查询本基金的基金合同、招募说明书和发售公告等相关文件。</w:t>
      </w:r>
    </w:p>
    <w:p w:rsidR="001F1C91" w:rsidRPr="00EC7826" w:rsidRDefault="001F1C91" w:rsidP="001F1C91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 w:hint="eastAsia"/>
          <w:color w:val="000000" w:themeColor="text1"/>
          <w:szCs w:val="21"/>
        </w:rPr>
        <w:t>三、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投资者可通过以下途径了解或咨询相关情况</w:t>
      </w:r>
    </w:p>
    <w:p w:rsidR="001F1C91" w:rsidRPr="00EC7826" w:rsidRDefault="001F1C91" w:rsidP="001F1C91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、博时财富基金销售有限公司</w:t>
      </w:r>
    </w:p>
    <w:p w:rsidR="001F1C91" w:rsidRPr="00EC7826" w:rsidRDefault="001F1C91" w:rsidP="001F1C91">
      <w:pPr>
        <w:autoSpaceDE w:val="0"/>
        <w:autoSpaceDN w:val="0"/>
        <w:adjustRightInd w:val="0"/>
        <w:spacing w:line="360" w:lineRule="auto"/>
        <w:ind w:left="241"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客服电话：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410-610-5568</w:t>
      </w:r>
    </w:p>
    <w:p w:rsidR="001F1C91" w:rsidRPr="00EC7826" w:rsidRDefault="001F1C91" w:rsidP="001F1C91">
      <w:pPr>
        <w:autoSpaceDE w:val="0"/>
        <w:autoSpaceDN w:val="0"/>
        <w:adjustRightInd w:val="0"/>
        <w:spacing w:line="360" w:lineRule="auto"/>
        <w:ind w:left="241" w:firstLineChars="250" w:firstLine="52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公司网址：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 xml:space="preserve">www.boserawealth.com </w:t>
      </w:r>
    </w:p>
    <w:p w:rsidR="001F1C91" w:rsidRPr="00EC7826" w:rsidRDefault="001F1C91" w:rsidP="001F1C91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、泰达宏利基金管理有限公司</w:t>
      </w:r>
    </w:p>
    <w:p w:rsidR="001F1C91" w:rsidRPr="00EC7826" w:rsidRDefault="001F1C91" w:rsidP="001F1C91">
      <w:pPr>
        <w:spacing w:line="360" w:lineRule="auto"/>
        <w:ind w:firstLineChars="350" w:firstLine="73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客服电话：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400-698-8888</w:t>
      </w:r>
    </w:p>
    <w:p w:rsidR="001F1C91" w:rsidRPr="00EC7826" w:rsidRDefault="001F1C91" w:rsidP="001F1C91">
      <w:pPr>
        <w:spacing w:line="360" w:lineRule="auto"/>
        <w:ind w:firstLineChars="350" w:firstLine="73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网址：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www.mfcteda.com</w:t>
      </w:r>
    </w:p>
    <w:p w:rsidR="00646DA3" w:rsidRPr="00EC7826" w:rsidRDefault="00646DA3" w:rsidP="001F1C91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8843EA" w:rsidRPr="00EC7826" w:rsidRDefault="008843EA" w:rsidP="00F91F18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D20E90" w:rsidRPr="00EC782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招募说明书</w:t>
      </w:r>
      <w:r w:rsidR="00082B20" w:rsidRPr="00EC7826">
        <w:rPr>
          <w:rFonts w:ascii="Times New Roman" w:eastAsia="宋体" w:hAnsi="Times New Roman" w:cs="Times New Roman"/>
          <w:color w:val="000000" w:themeColor="text1"/>
          <w:szCs w:val="21"/>
        </w:rPr>
        <w:t>和</w:t>
      </w:r>
      <w:r w:rsidR="00D20E90" w:rsidRPr="00EC7826">
        <w:rPr>
          <w:rFonts w:ascii="Times New Roman" w:eastAsia="宋体" w:hAnsi="Times New Roman" w:cs="Times New Roman"/>
          <w:color w:val="000000" w:themeColor="text1"/>
          <w:szCs w:val="21"/>
        </w:rPr>
        <w:t>基金产品资料概要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8843EA" w:rsidRPr="00EC7826" w:rsidRDefault="008843EA" w:rsidP="004176B4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特此公告。</w:t>
      </w:r>
    </w:p>
    <w:p w:rsidR="008843EA" w:rsidRPr="00EC7826" w:rsidRDefault="008843EA" w:rsidP="00F91F18">
      <w:pPr>
        <w:spacing w:line="360" w:lineRule="auto"/>
        <w:ind w:firstLine="405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8843EA" w:rsidRPr="00EC7826" w:rsidRDefault="008843EA" w:rsidP="00F91F18">
      <w:pPr>
        <w:spacing w:line="360" w:lineRule="auto"/>
        <w:ind w:firstLineChars="150" w:firstLine="315"/>
        <w:jc w:val="righ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泰达宏利基金管理有限公司</w:t>
      </w:r>
    </w:p>
    <w:p w:rsidR="008843EA" w:rsidRPr="00EC7826" w:rsidRDefault="008843EA" w:rsidP="004176B4">
      <w:pPr>
        <w:ind w:firstLineChars="3000" w:firstLine="6300"/>
        <w:rPr>
          <w:rFonts w:ascii="Times New Roman" w:eastAsia="微软雅黑" w:hAnsi="Times New Roman" w:cs="Times New Roman"/>
          <w:b/>
          <w:color w:val="000000" w:themeColor="text1"/>
          <w:szCs w:val="21"/>
        </w:rPr>
      </w:pP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202</w:t>
      </w:r>
      <w:r w:rsidR="001F5EB2" w:rsidRPr="00EC7826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年</w:t>
      </w:r>
      <w:r w:rsidR="001F5EB2" w:rsidRPr="00EC7826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月</w:t>
      </w:r>
      <w:r w:rsidR="00122C0D" w:rsidRPr="00EC782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="00122C0D">
        <w:rPr>
          <w:rFonts w:ascii="Times New Roman" w:eastAsia="宋体" w:hAnsi="Times New Roman" w:cs="Times New Roman"/>
          <w:color w:val="000000" w:themeColor="text1"/>
          <w:szCs w:val="21"/>
        </w:rPr>
        <w:t>4</w:t>
      </w:r>
      <w:r w:rsidRPr="00EC7826">
        <w:rPr>
          <w:rFonts w:ascii="Times New Roman" w:eastAsia="宋体" w:hAnsi="Times New Roman" w:cs="Times New Roman"/>
          <w:color w:val="000000" w:themeColor="text1"/>
          <w:szCs w:val="21"/>
        </w:rPr>
        <w:t>日</w:t>
      </w:r>
    </w:p>
    <w:sectPr w:rsidR="008843EA" w:rsidRPr="00EC7826" w:rsidSect="00CC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0A" w:rsidRDefault="00692C0A" w:rsidP="00B5573E">
      <w:r>
        <w:separator/>
      </w:r>
    </w:p>
  </w:endnote>
  <w:endnote w:type="continuationSeparator" w:id="0">
    <w:p w:rsidR="00692C0A" w:rsidRDefault="00692C0A" w:rsidP="00B5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0A" w:rsidRDefault="00692C0A" w:rsidP="00B5573E">
      <w:r>
        <w:separator/>
      </w:r>
    </w:p>
  </w:footnote>
  <w:footnote w:type="continuationSeparator" w:id="0">
    <w:p w:rsidR="00692C0A" w:rsidRDefault="00692C0A" w:rsidP="00B55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6E1"/>
    <w:multiLevelType w:val="hybridMultilevel"/>
    <w:tmpl w:val="D4486AE4"/>
    <w:lvl w:ilvl="0" w:tplc="09F459A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EB66E3"/>
    <w:multiLevelType w:val="hybridMultilevel"/>
    <w:tmpl w:val="78B89E5C"/>
    <w:lvl w:ilvl="0" w:tplc="54F23C4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8468D3"/>
    <w:multiLevelType w:val="hybridMultilevel"/>
    <w:tmpl w:val="5DB0B3CE"/>
    <w:lvl w:ilvl="0" w:tplc="09F459A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0B513C"/>
    <w:multiLevelType w:val="hybridMultilevel"/>
    <w:tmpl w:val="4164E730"/>
    <w:lvl w:ilvl="0" w:tplc="09F459A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B8E"/>
    <w:rsid w:val="00013A72"/>
    <w:rsid w:val="00032837"/>
    <w:rsid w:val="0007021B"/>
    <w:rsid w:val="00082B20"/>
    <w:rsid w:val="00083864"/>
    <w:rsid w:val="000867DB"/>
    <w:rsid w:val="0009182E"/>
    <w:rsid w:val="000C405B"/>
    <w:rsid w:val="000D4EB8"/>
    <w:rsid w:val="00122C0D"/>
    <w:rsid w:val="001236D4"/>
    <w:rsid w:val="0013670F"/>
    <w:rsid w:val="001D1CE7"/>
    <w:rsid w:val="001D48FE"/>
    <w:rsid w:val="001D6EE4"/>
    <w:rsid w:val="001E20F0"/>
    <w:rsid w:val="001F1C91"/>
    <w:rsid w:val="001F5EB2"/>
    <w:rsid w:val="0022036B"/>
    <w:rsid w:val="002B4ECC"/>
    <w:rsid w:val="002E618B"/>
    <w:rsid w:val="00303E23"/>
    <w:rsid w:val="00312403"/>
    <w:rsid w:val="003142AE"/>
    <w:rsid w:val="003901DD"/>
    <w:rsid w:val="003908D5"/>
    <w:rsid w:val="003C479A"/>
    <w:rsid w:val="003D4339"/>
    <w:rsid w:val="00400F03"/>
    <w:rsid w:val="00413701"/>
    <w:rsid w:val="00414130"/>
    <w:rsid w:val="0041512C"/>
    <w:rsid w:val="004176B4"/>
    <w:rsid w:val="004517D4"/>
    <w:rsid w:val="00452415"/>
    <w:rsid w:val="00453E10"/>
    <w:rsid w:val="00470D10"/>
    <w:rsid w:val="004E20EF"/>
    <w:rsid w:val="004E5667"/>
    <w:rsid w:val="005117C7"/>
    <w:rsid w:val="00536931"/>
    <w:rsid w:val="00551D91"/>
    <w:rsid w:val="005731AA"/>
    <w:rsid w:val="00594032"/>
    <w:rsid w:val="005C549C"/>
    <w:rsid w:val="00646DA3"/>
    <w:rsid w:val="00674B17"/>
    <w:rsid w:val="00692C0A"/>
    <w:rsid w:val="00696216"/>
    <w:rsid w:val="006C23E9"/>
    <w:rsid w:val="006C33BF"/>
    <w:rsid w:val="00715B96"/>
    <w:rsid w:val="0074380A"/>
    <w:rsid w:val="0077092B"/>
    <w:rsid w:val="00784C4D"/>
    <w:rsid w:val="007A107A"/>
    <w:rsid w:val="007C1979"/>
    <w:rsid w:val="007D67CA"/>
    <w:rsid w:val="007F50F0"/>
    <w:rsid w:val="00822A1F"/>
    <w:rsid w:val="00854AFF"/>
    <w:rsid w:val="00867F29"/>
    <w:rsid w:val="008843EA"/>
    <w:rsid w:val="00903E33"/>
    <w:rsid w:val="00904F93"/>
    <w:rsid w:val="00970B8E"/>
    <w:rsid w:val="00972ABF"/>
    <w:rsid w:val="00991060"/>
    <w:rsid w:val="00995865"/>
    <w:rsid w:val="009A75A0"/>
    <w:rsid w:val="009B185C"/>
    <w:rsid w:val="009B6E90"/>
    <w:rsid w:val="00A133AC"/>
    <w:rsid w:val="00A1719F"/>
    <w:rsid w:val="00A17721"/>
    <w:rsid w:val="00A2400F"/>
    <w:rsid w:val="00A571B7"/>
    <w:rsid w:val="00A93FD7"/>
    <w:rsid w:val="00A96166"/>
    <w:rsid w:val="00AA0E5E"/>
    <w:rsid w:val="00AD0678"/>
    <w:rsid w:val="00AD39D2"/>
    <w:rsid w:val="00AE0105"/>
    <w:rsid w:val="00B2086A"/>
    <w:rsid w:val="00B304A4"/>
    <w:rsid w:val="00B5573E"/>
    <w:rsid w:val="00B615EA"/>
    <w:rsid w:val="00B67C55"/>
    <w:rsid w:val="00BB14F7"/>
    <w:rsid w:val="00BD3A72"/>
    <w:rsid w:val="00BE1CB3"/>
    <w:rsid w:val="00C0479B"/>
    <w:rsid w:val="00C12769"/>
    <w:rsid w:val="00C81E2F"/>
    <w:rsid w:val="00CC32E8"/>
    <w:rsid w:val="00CE0C26"/>
    <w:rsid w:val="00D1135D"/>
    <w:rsid w:val="00D20E90"/>
    <w:rsid w:val="00D212A1"/>
    <w:rsid w:val="00D50B7A"/>
    <w:rsid w:val="00D5522E"/>
    <w:rsid w:val="00D65432"/>
    <w:rsid w:val="00D66C87"/>
    <w:rsid w:val="00DB35A7"/>
    <w:rsid w:val="00E2287B"/>
    <w:rsid w:val="00E26D3A"/>
    <w:rsid w:val="00EC01D1"/>
    <w:rsid w:val="00EC7826"/>
    <w:rsid w:val="00F11055"/>
    <w:rsid w:val="00F349A2"/>
    <w:rsid w:val="00F34D08"/>
    <w:rsid w:val="00F9181F"/>
    <w:rsid w:val="00F9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7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73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2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403"/>
    <w:rPr>
      <w:sz w:val="18"/>
      <w:szCs w:val="18"/>
    </w:rPr>
  </w:style>
  <w:style w:type="paragraph" w:styleId="a7">
    <w:name w:val="List Paragraph"/>
    <w:basedOn w:val="a"/>
    <w:uiPriority w:val="34"/>
    <w:qFormat/>
    <w:rsid w:val="00854AFF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C81E2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81E2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81E2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81E2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81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9B9C-4F05-4FC5-A747-E6C70AF9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4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</dc:creator>
  <cp:keywords/>
  <dc:description/>
  <cp:lastModifiedBy>ZHONGM</cp:lastModifiedBy>
  <cp:revision>2</cp:revision>
  <dcterms:created xsi:type="dcterms:W3CDTF">2023-02-13T16:00:00Z</dcterms:created>
  <dcterms:modified xsi:type="dcterms:W3CDTF">2023-02-13T16:00:00Z</dcterms:modified>
</cp:coreProperties>
</file>