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473D" w:rsidRDefault="005B473D">
      <w:pPr>
        <w:pStyle w:val="XBRL2"/>
        <w:spacing w:before="156"/>
        <w:rPr>
          <w:lang w:eastAsia="zh-CN"/>
        </w:rPr>
      </w:pPr>
      <w:bookmarkStart w:id="0" w:name="_Toc348410291"/>
      <w:bookmarkEnd w:id="0"/>
      <w:r>
        <w:rPr>
          <w:lang w:eastAsia="zh-CN"/>
        </w:rPr>
        <w:t xml:space="preserve">　</w:t>
      </w:r>
      <w:r>
        <w:rPr>
          <w:lang w:eastAsia="zh-CN"/>
        </w:rPr>
        <w:t xml:space="preserve"> </w:t>
      </w:r>
    </w:p>
    <w:p w:rsidR="005B473D" w:rsidRDefault="00065C80">
      <w:pPr>
        <w:jc w:val="center"/>
      </w:pPr>
      <w:r w:rsidRPr="00065C80">
        <w:rPr>
          <w:rFonts w:cs="Times New Roman" w:hint="eastAsia"/>
          <w:b/>
          <w:sz w:val="48"/>
          <w:szCs w:val="48"/>
        </w:rPr>
        <w:t>华泰柏瑞行业优选</w:t>
      </w:r>
      <w:r w:rsidRPr="00065C80">
        <w:rPr>
          <w:rFonts w:cs="Times New Roman"/>
          <w:b/>
          <w:sz w:val="48"/>
          <w:szCs w:val="48"/>
        </w:rPr>
        <w:t xml:space="preserve"> 6 个月持有期混合型证券投资基金</w:t>
      </w:r>
      <w:r w:rsidR="005B473D" w:rsidRPr="00065C80">
        <w:rPr>
          <w:rFonts w:cs="Times New Roman" w:hint="eastAsia"/>
          <w:b/>
          <w:sz w:val="48"/>
          <w:szCs w:val="48"/>
        </w:rPr>
        <w:t>开</w:t>
      </w:r>
      <w:r w:rsidR="005B473D">
        <w:rPr>
          <w:rFonts w:cs="Times New Roman" w:hint="eastAsia"/>
          <w:b/>
          <w:sz w:val="48"/>
          <w:szCs w:val="48"/>
        </w:rPr>
        <w:t>放日常申购、转换</w:t>
      </w:r>
      <w:r w:rsidR="00B61C93">
        <w:rPr>
          <w:rFonts w:cs="Times New Roman" w:hint="eastAsia"/>
          <w:b/>
          <w:sz w:val="48"/>
          <w:szCs w:val="48"/>
        </w:rPr>
        <w:t>转入</w:t>
      </w:r>
      <w:r w:rsidR="005B473D">
        <w:rPr>
          <w:rFonts w:cs="Times New Roman" w:hint="eastAsia"/>
          <w:b/>
          <w:sz w:val="48"/>
          <w:szCs w:val="48"/>
        </w:rPr>
        <w:t>、定期定额投资等业务公告</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sz w:val="24"/>
          <w:szCs w:val="30"/>
        </w:rPr>
      </w:pPr>
      <w:r>
        <w:rPr>
          <w:rFonts w:hint="eastAsia"/>
          <w:sz w:val="24"/>
          <w:szCs w:val="30"/>
        </w:rPr>
        <w:t xml:space="preserve">　 </w:t>
      </w:r>
    </w:p>
    <w:p w:rsidR="005B473D" w:rsidRDefault="005B473D">
      <w:pPr>
        <w:spacing w:line="360" w:lineRule="auto"/>
        <w:jc w:val="center"/>
        <w:rPr>
          <w:rFonts w:hint="eastAsia"/>
        </w:rPr>
      </w:pPr>
      <w:r>
        <w:rPr>
          <w:rFonts w:hint="eastAsia"/>
          <w:b/>
          <w:bCs/>
          <w:sz w:val="24"/>
          <w:szCs w:val="30"/>
        </w:rPr>
        <w:t>公告送出日期：202</w:t>
      </w:r>
      <w:r w:rsidR="00065C80">
        <w:rPr>
          <w:b/>
          <w:bCs/>
          <w:sz w:val="24"/>
          <w:szCs w:val="30"/>
        </w:rPr>
        <w:t>3</w:t>
      </w:r>
      <w:r>
        <w:rPr>
          <w:rFonts w:hint="eastAsia"/>
          <w:b/>
          <w:bCs/>
          <w:sz w:val="24"/>
          <w:szCs w:val="30"/>
        </w:rPr>
        <w:t>年</w:t>
      </w:r>
      <w:r w:rsidR="00065C80">
        <w:rPr>
          <w:b/>
          <w:bCs/>
          <w:sz w:val="24"/>
          <w:szCs w:val="30"/>
        </w:rPr>
        <w:t>2</w:t>
      </w:r>
      <w:r>
        <w:rPr>
          <w:rFonts w:hint="eastAsia"/>
          <w:b/>
          <w:bCs/>
          <w:sz w:val="24"/>
          <w:szCs w:val="30"/>
        </w:rPr>
        <w:t>月</w:t>
      </w:r>
      <w:r w:rsidR="00065C80">
        <w:rPr>
          <w:b/>
          <w:bCs/>
          <w:sz w:val="24"/>
          <w:szCs w:val="30"/>
        </w:rPr>
        <w:t>11</w:t>
      </w:r>
      <w:r>
        <w:rPr>
          <w:rFonts w:hint="eastAsia"/>
          <w:b/>
          <w:bCs/>
          <w:sz w:val="24"/>
          <w:szCs w:val="30"/>
        </w:rPr>
        <w:t>日</w:t>
      </w:r>
    </w:p>
    <w:p w:rsidR="005B473D" w:rsidRDefault="005B473D">
      <w:pPr>
        <w:pStyle w:val="XBRLTitle1"/>
        <w:spacing w:before="156" w:line="360" w:lineRule="auto"/>
        <w:rPr>
          <w:rFonts w:hAnsi="宋体" w:hint="eastAsia"/>
          <w:szCs w:val="44"/>
        </w:rPr>
      </w:pPr>
      <w:r>
        <w:rPr>
          <w:rFonts w:hint="eastAsia"/>
          <w:color w:val="404040"/>
          <w:kern w:val="0"/>
        </w:rPr>
        <w:br w:type="page"/>
      </w:r>
      <w:bookmarkStart w:id="1" w:name="_Toc34841028"/>
      <w:bookmarkStart w:id="2" w:name="_Toc17898178"/>
      <w:bookmarkStart w:id="3" w:name="_Toc17897936"/>
      <w:bookmarkStart w:id="4" w:name="_Toc512519480"/>
      <w:bookmarkStart w:id="5" w:name="_Toc481075046"/>
      <w:bookmarkStart w:id="6" w:name="_Toc438646451"/>
      <w:bookmarkStart w:id="7" w:name="_Toc490050000"/>
      <w:bookmarkStart w:id="8" w:name="_Toc513295846"/>
      <w:bookmarkStart w:id="9" w:name="_Toc513295892"/>
      <w:bookmarkStart w:id="10" w:name="_Toc34758519"/>
      <w:bookmarkStart w:id="11" w:name="m101"/>
      <w:bookmarkStart w:id="12" w:name="_Toc194311890"/>
      <w:bookmarkStart w:id="13" w:name="m01_01"/>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rsidP="00556BA3">
            <w:pPr>
              <w:rPr>
                <w:rFonts w:hint="eastAsia"/>
              </w:rPr>
            </w:pPr>
            <w:r w:rsidRPr="00556BA3">
              <w:rPr>
                <w:rFonts w:hint="eastAsia"/>
              </w:rPr>
              <w:t xml:space="preserve">基金名称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rPr>
                <w:rFonts w:hint="eastAsia"/>
              </w:rPr>
              <w:t>华泰柏瑞行业优选</w:t>
            </w:r>
            <w:r w:rsidRPr="00065C80">
              <w:t xml:space="preserve"> 6 个月持有期混合型证券投资基金</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基金简称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rPr>
                <w:rFonts w:hint="eastAsia"/>
              </w:rPr>
              <w:t>华泰柏瑞行业优选</w:t>
            </w:r>
            <w:r w:rsidRPr="00065C80">
              <w:t xml:space="preserve"> 6 个月持有期混合</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基金主代码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t>016632</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基金运作方式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rsidP="00EE45DC">
            <w:pPr>
              <w:rPr>
                <w:rFonts w:hint="eastAsia"/>
              </w:rPr>
            </w:pPr>
            <w:r w:rsidRPr="00065C80">
              <w:rPr>
                <w:rFonts w:hint="eastAsia"/>
              </w:rPr>
              <w:t>契约型开放式</w:t>
            </w:r>
            <w:r w:rsidR="00EE45DC">
              <w:rPr>
                <w:rFonts w:hint="eastAsia"/>
              </w:rPr>
              <w:t>，本基金每个工作日开放申购，但本基金对每份基金份额设置</w:t>
            </w:r>
            <w:r w:rsidR="00EE45DC">
              <w:t>6个月的</w:t>
            </w:r>
            <w:r w:rsidR="00EE45DC">
              <w:rPr>
                <w:rFonts w:hint="eastAsia"/>
              </w:rPr>
              <w:t>最短持有期限，即：自基金合同生效日（对认购份额而言，下同）或基金份额申购确认日（对申购份额而言，下同）至该日</w:t>
            </w:r>
            <w:r w:rsidR="00EE45DC">
              <w:t>6个月后的月度对日的期间内，投资者不能提出赎回及转换转</w:t>
            </w:r>
            <w:r w:rsidR="00EE45DC">
              <w:rPr>
                <w:rFonts w:hint="eastAsia"/>
              </w:rPr>
              <w:t>出申请；该日</w:t>
            </w:r>
            <w:r w:rsidR="00EE45DC">
              <w:t>6个月后的月度对日之后，投资者可以提出赎回或转换转出申请。</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基金合同生效日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t>2022 年 11 月 22 日</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基金管理人名称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5B473D">
            <w:pPr>
              <w:rPr>
                <w:rFonts w:hint="eastAsia"/>
              </w:rPr>
            </w:pPr>
            <w:r w:rsidRPr="00556BA3">
              <w:rPr>
                <w:rFonts w:hint="eastAsia"/>
              </w:rPr>
              <w:t>华泰柏瑞基金管理有限公司</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基金托管人名称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rPr>
                <w:rFonts w:hint="eastAsia"/>
              </w:rPr>
              <w:t>中国农业银行股份有限公司</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基金注册登记机构名称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5B473D">
            <w:pPr>
              <w:rPr>
                <w:rFonts w:hint="eastAsia"/>
              </w:rPr>
            </w:pPr>
            <w:r w:rsidRPr="00556BA3">
              <w:rPr>
                <w:rFonts w:hint="eastAsia"/>
              </w:rPr>
              <w:t>华泰柏瑞基金管理有限公司</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公告依据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5B473D">
            <w:pPr>
              <w:rPr>
                <w:rFonts w:hint="eastAsia"/>
              </w:rPr>
            </w:pPr>
            <w:r w:rsidRPr="00556BA3">
              <w:rPr>
                <w:rFonts w:hint="eastAsia"/>
              </w:rPr>
              <w:t>《中华人民共和国证券投资基金法》及其配套法规、《</w:t>
            </w:r>
            <w:r w:rsidR="00065C80" w:rsidRPr="00065C80">
              <w:rPr>
                <w:rFonts w:hint="eastAsia"/>
              </w:rPr>
              <w:t>华泰柏瑞行业优选</w:t>
            </w:r>
            <w:r w:rsidR="00065C80" w:rsidRPr="00065C80">
              <w:t xml:space="preserve"> 6 个月持有期混合型证券投资基金</w:t>
            </w:r>
            <w:r w:rsidRPr="00556BA3">
              <w:rPr>
                <w:rFonts w:hint="eastAsia"/>
              </w:rPr>
              <w:t>基金合同》、《</w:t>
            </w:r>
            <w:r w:rsidR="00065C80" w:rsidRPr="00065C80">
              <w:rPr>
                <w:rFonts w:hint="eastAsia"/>
              </w:rPr>
              <w:t>华泰柏瑞行业优选</w:t>
            </w:r>
            <w:r w:rsidR="00065C80" w:rsidRPr="00065C80">
              <w:t xml:space="preserve"> 6 个月持有期混合型证券投资基金</w:t>
            </w:r>
            <w:r w:rsidRPr="00556BA3">
              <w:rPr>
                <w:rFonts w:hint="eastAsia"/>
              </w:rPr>
              <w:t>招募说明书》</w:t>
            </w:r>
          </w:p>
        </w:tc>
      </w:tr>
      <w:tr w:rsidR="005B473D" w:rsidRPr="00556BA3" w:rsidTr="000E1243">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Pr="00556BA3" w:rsidRDefault="005B473D">
            <w:pPr>
              <w:rPr>
                <w:rFonts w:hint="eastAsia"/>
              </w:rPr>
            </w:pPr>
            <w:r w:rsidRPr="00556BA3">
              <w:rPr>
                <w:rFonts w:hint="eastAsia"/>
              </w:rPr>
              <w:t xml:space="preserve">申购起始日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5B473D" w:rsidP="00065C80">
            <w:pPr>
              <w:rPr>
                <w:rFonts w:hint="eastAsia"/>
              </w:rPr>
            </w:pPr>
            <w:r w:rsidRPr="00556BA3">
              <w:rPr>
                <w:rFonts w:hint="eastAsia"/>
              </w:rPr>
              <w:t>202</w:t>
            </w:r>
            <w:r w:rsidR="00065C80">
              <w:t>3</w:t>
            </w:r>
            <w:r w:rsidRPr="00556BA3">
              <w:rPr>
                <w:rFonts w:hint="eastAsia"/>
              </w:rPr>
              <w:t>年</w:t>
            </w:r>
            <w:r w:rsidR="00065C80">
              <w:t>2</w:t>
            </w:r>
            <w:r w:rsidRPr="00556BA3">
              <w:rPr>
                <w:rFonts w:hint="eastAsia"/>
              </w:rPr>
              <w:t>月</w:t>
            </w:r>
            <w:r w:rsidR="00065C80">
              <w:t>14</w:t>
            </w:r>
            <w:r w:rsidRPr="00556BA3">
              <w:rPr>
                <w:rFonts w:hint="eastAsia"/>
              </w:rPr>
              <w:t>日</w:t>
            </w:r>
          </w:p>
        </w:tc>
      </w:tr>
      <w:tr w:rsidR="00065C80" w:rsidRPr="00556BA3" w:rsidTr="00BF2F4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5C80" w:rsidRPr="00556BA3" w:rsidRDefault="00065C80" w:rsidP="00065C80">
            <w:pPr>
              <w:rPr>
                <w:rFonts w:hint="eastAsia"/>
              </w:rPr>
            </w:pPr>
            <w:r w:rsidRPr="00556BA3">
              <w:rPr>
                <w:rFonts w:hint="eastAsia"/>
              </w:rPr>
              <w:t xml:space="preserve">转换转入起始日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65C80" w:rsidRDefault="00065C80" w:rsidP="00065C80">
            <w:r w:rsidRPr="00D82466">
              <w:t>2023年2月14日</w:t>
            </w:r>
          </w:p>
        </w:tc>
      </w:tr>
      <w:tr w:rsidR="00065C80" w:rsidRPr="00556BA3" w:rsidTr="00BF2F4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5C80" w:rsidRDefault="00065C80" w:rsidP="00065C80">
            <w:pPr>
              <w:rPr>
                <w:rFonts w:hint="eastAsia"/>
              </w:rPr>
            </w:pPr>
            <w:r w:rsidRPr="00556BA3">
              <w:rPr>
                <w:rFonts w:ascii="Times New Roman" w:hAnsi="Times New Roman" w:hint="eastAsia"/>
              </w:rPr>
              <w:t>定期定额投资起始日</w:t>
            </w:r>
          </w:p>
        </w:tc>
        <w:tc>
          <w:tcPr>
            <w:tcW w:w="5680" w:type="dxa"/>
            <w:gridSpan w:val="2"/>
            <w:tcBorders>
              <w:top w:val="single" w:sz="4" w:space="0" w:color="000000"/>
              <w:left w:val="nil"/>
              <w:bottom w:val="single" w:sz="4" w:space="0" w:color="000000"/>
              <w:right w:val="single" w:sz="4" w:space="0" w:color="000000"/>
            </w:tcBorders>
            <w:shd w:val="clear" w:color="auto" w:fill="auto"/>
            <w:hideMark/>
          </w:tcPr>
          <w:p w:rsidR="00065C80" w:rsidRDefault="00065C80" w:rsidP="00065C80">
            <w:r w:rsidRPr="00D82466">
              <w:t>2023年2月14日</w:t>
            </w:r>
          </w:p>
        </w:tc>
      </w:tr>
      <w:tr w:rsidR="005B473D" w:rsidRPr="00556BA3" w:rsidTr="000E1243">
        <w:tc>
          <w:tcPr>
            <w:tcW w:w="2840" w:type="dxa"/>
            <w:tcBorders>
              <w:top w:val="single" w:sz="4" w:space="0" w:color="000000"/>
              <w:left w:val="single" w:sz="4" w:space="0" w:color="000000"/>
              <w:bottom w:val="single" w:sz="4" w:space="0" w:color="000000"/>
              <w:right w:val="nil"/>
            </w:tcBorders>
            <w:shd w:val="clear" w:color="auto" w:fill="auto"/>
            <w:vAlign w:val="center"/>
            <w:hideMark/>
          </w:tcPr>
          <w:p w:rsidR="005B473D" w:rsidRDefault="005B473D">
            <w:pPr>
              <w:rPr>
                <w:rFonts w:hint="eastAsia"/>
              </w:rPr>
            </w:pPr>
            <w:r w:rsidRPr="00556BA3">
              <w:rPr>
                <w:rFonts w:ascii="Times New Roman" w:hAnsi="Times New Roman" w:hint="eastAsia"/>
              </w:rPr>
              <w:t>下属分级基金的基金简称</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rPr>
                <w:rFonts w:ascii="Times New Roman" w:hAnsi="Times New Roman" w:hint="eastAsia"/>
              </w:rPr>
              <w:t>华泰柏瑞行业优选</w:t>
            </w:r>
            <w:r w:rsidRPr="00065C80">
              <w:rPr>
                <w:rFonts w:ascii="Times New Roman" w:hAnsi="Times New Roman"/>
              </w:rPr>
              <w:t xml:space="preserve"> 6 </w:t>
            </w:r>
            <w:r w:rsidRPr="00065C80">
              <w:rPr>
                <w:rFonts w:ascii="Times New Roman" w:hAnsi="Times New Roman"/>
              </w:rPr>
              <w:t>个月持有期混合</w:t>
            </w:r>
            <w:r w:rsidR="005B473D" w:rsidRPr="00556BA3">
              <w:rPr>
                <w:rFonts w:ascii="Times New Roman" w:hAnsi="Times New Roman" w:hint="eastAsia"/>
              </w:rPr>
              <w:t>A</w:t>
            </w:r>
            <w:r w:rsidR="005B473D">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rPr>
                <w:rFonts w:ascii="Times New Roman" w:hAnsi="Times New Roman" w:hint="eastAsia"/>
              </w:rPr>
              <w:t>华泰柏瑞行业优选</w:t>
            </w:r>
            <w:r w:rsidRPr="00065C80">
              <w:rPr>
                <w:rFonts w:ascii="Times New Roman" w:hAnsi="Times New Roman"/>
              </w:rPr>
              <w:t xml:space="preserve"> 6 </w:t>
            </w:r>
            <w:r w:rsidRPr="00065C80">
              <w:rPr>
                <w:rFonts w:ascii="Times New Roman" w:hAnsi="Times New Roman"/>
              </w:rPr>
              <w:t>个月持有期混合</w:t>
            </w:r>
            <w:r w:rsidR="005B473D" w:rsidRPr="00556BA3">
              <w:rPr>
                <w:rFonts w:ascii="Times New Roman" w:hAnsi="Times New Roman" w:hint="eastAsia"/>
              </w:rPr>
              <w:t>C</w:t>
            </w:r>
            <w:r w:rsidR="005B473D">
              <w:rPr>
                <w:rFonts w:hint="eastAsia"/>
              </w:rPr>
              <w:t xml:space="preserve"> </w:t>
            </w:r>
          </w:p>
        </w:tc>
      </w:tr>
      <w:tr w:rsidR="005B473D" w:rsidRPr="00556BA3" w:rsidTr="000E1243">
        <w:tc>
          <w:tcPr>
            <w:tcW w:w="2840" w:type="dxa"/>
            <w:tcBorders>
              <w:top w:val="single" w:sz="4" w:space="0" w:color="000000"/>
              <w:left w:val="single" w:sz="4" w:space="0" w:color="000000"/>
              <w:bottom w:val="single" w:sz="4" w:space="0" w:color="000000"/>
              <w:right w:val="nil"/>
            </w:tcBorders>
            <w:shd w:val="clear" w:color="auto" w:fill="auto"/>
            <w:vAlign w:val="center"/>
            <w:hideMark/>
          </w:tcPr>
          <w:p w:rsidR="005B473D" w:rsidRDefault="005B473D">
            <w:pPr>
              <w:rPr>
                <w:rFonts w:hint="eastAsia"/>
              </w:rPr>
            </w:pPr>
            <w:r w:rsidRPr="00556BA3">
              <w:rPr>
                <w:rFonts w:ascii="Times New Roman" w:hAnsi="Times New Roman" w:hint="eastAsia"/>
              </w:rPr>
              <w:t>下属分级基金的交易代码</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rPr>
                <w:rFonts w:ascii="Times New Roman" w:hAnsi="Times New Roman"/>
              </w:rPr>
              <w:t>016632</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065C80">
            <w:pPr>
              <w:rPr>
                <w:rFonts w:hint="eastAsia"/>
              </w:rPr>
            </w:pPr>
            <w:r w:rsidRPr="00065C80">
              <w:rPr>
                <w:rFonts w:ascii="Times New Roman" w:hAnsi="Times New Roman"/>
              </w:rPr>
              <w:t>016653</w:t>
            </w:r>
            <w:r w:rsidR="005B473D">
              <w:rPr>
                <w:rFonts w:hint="eastAsia"/>
              </w:rPr>
              <w:t xml:space="preserve"> </w:t>
            </w:r>
          </w:p>
        </w:tc>
      </w:tr>
      <w:tr w:rsidR="005B473D" w:rsidRPr="00556BA3" w:rsidTr="000E1243">
        <w:tc>
          <w:tcPr>
            <w:tcW w:w="2840" w:type="dxa"/>
            <w:tcBorders>
              <w:top w:val="single" w:sz="4" w:space="0" w:color="000000"/>
              <w:left w:val="single" w:sz="4" w:space="0" w:color="000000"/>
              <w:bottom w:val="single" w:sz="4" w:space="0" w:color="000000"/>
              <w:right w:val="nil"/>
            </w:tcBorders>
            <w:shd w:val="clear" w:color="auto" w:fill="auto"/>
            <w:vAlign w:val="center"/>
            <w:hideMark/>
          </w:tcPr>
          <w:p w:rsidR="005B473D" w:rsidRDefault="000E1243">
            <w:pPr>
              <w:rPr>
                <w:rFonts w:hint="eastAsia"/>
              </w:rPr>
            </w:pPr>
            <w:r>
              <w:rPr>
                <w:rFonts w:ascii="Times New Roman" w:hAnsi="Times New Roman" w:hint="eastAsia"/>
              </w:rPr>
              <w:t>该分级基金是否开放申购</w:t>
            </w:r>
            <w:r w:rsidR="005B473D" w:rsidRPr="00556BA3">
              <w:rPr>
                <w:rFonts w:ascii="Times New Roman" w:hAnsi="Times New Roman" w:hint="eastAsia"/>
              </w:rPr>
              <w:t>（转换</w:t>
            </w:r>
            <w:r w:rsidR="00CA435C">
              <w:rPr>
                <w:rFonts w:ascii="Times New Roman" w:hAnsi="Times New Roman" w:hint="eastAsia"/>
              </w:rPr>
              <w:t>转入</w:t>
            </w:r>
            <w:r w:rsidR="005B473D" w:rsidRPr="00556BA3">
              <w:rPr>
                <w:rFonts w:ascii="Times New Roman" w:hAnsi="Times New Roman" w:hint="eastAsia"/>
              </w:rPr>
              <w:t>、定期定额投资）</w:t>
            </w:r>
            <w:r w:rsidR="005B473D">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5B473D">
            <w:pPr>
              <w:rPr>
                <w:rFonts w:hint="eastAsia"/>
              </w:rPr>
            </w:pPr>
            <w:r w:rsidRPr="00556BA3">
              <w:rPr>
                <w:rFonts w:ascii="Times New Roman" w:hAnsi="Times New Roman" w:hint="eastAsia"/>
              </w:rPr>
              <w:t>是</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473D" w:rsidRDefault="005B473D">
            <w:pPr>
              <w:rPr>
                <w:rFonts w:hint="eastAsia"/>
              </w:rPr>
            </w:pPr>
            <w:r w:rsidRPr="00556BA3">
              <w:rPr>
                <w:rFonts w:ascii="Times New Roman" w:hAnsi="Times New Roman" w:hint="eastAsia"/>
              </w:rPr>
              <w:t>是</w:t>
            </w:r>
            <w:r>
              <w:rPr>
                <w:rFonts w:hint="eastAsia"/>
              </w:rPr>
              <w:t xml:space="preserve"> </w:t>
            </w:r>
          </w:p>
        </w:tc>
      </w:tr>
    </w:tbl>
    <w:p w:rsidR="005B473D" w:rsidRDefault="005B473D">
      <w:pPr>
        <w:pStyle w:val="XBRLTitle1"/>
        <w:spacing w:before="156" w:line="360" w:lineRule="auto"/>
        <w:rPr>
          <w:rFonts w:hAnsi="宋体" w:hint="eastAsia"/>
        </w:rPr>
      </w:pPr>
      <w:bookmarkStart w:id="14" w:name="_Toc34841029"/>
      <w:bookmarkStart w:id="15" w:name="_Toc34758520"/>
      <w:bookmarkStart w:id="16" w:name="_Toc17898179"/>
      <w:bookmarkStart w:id="17" w:name="_Toc17897937"/>
      <w:bookmarkStart w:id="18" w:name="_Toc512519481"/>
      <w:bookmarkStart w:id="19" w:name="_Toc481075047"/>
      <w:bookmarkStart w:id="20" w:name="_Toc438646452"/>
      <w:bookmarkStart w:id="21" w:name="_Toc490050001"/>
      <w:bookmarkStart w:id="22" w:name="_Toc513295847"/>
      <w:bookmarkStart w:id="23" w:name="_Toc513295893"/>
      <w:r>
        <w:rPr>
          <w:rFonts w:hAnsi="宋体" w:hint="eastAsia"/>
        </w:rPr>
        <w:t>日常申购</w:t>
      </w:r>
      <w:r w:rsidR="000E1243">
        <w:rPr>
          <w:rFonts w:hAnsi="宋体" w:hint="eastAsia"/>
        </w:rPr>
        <w:t xml:space="preserve"> </w:t>
      </w:r>
      <w:r>
        <w:rPr>
          <w:rFonts w:hAnsi="宋体" w:hint="eastAsia"/>
        </w:rPr>
        <w:t>(转换</w:t>
      </w:r>
      <w:r w:rsidR="00B61C93">
        <w:rPr>
          <w:rFonts w:hAnsi="宋体" w:hint="eastAsia"/>
          <w:lang w:eastAsia="zh-CN"/>
        </w:rPr>
        <w:t>转入</w:t>
      </w:r>
      <w:r>
        <w:rPr>
          <w:rFonts w:hAnsi="宋体" w:hint="eastAsia"/>
        </w:rPr>
        <w:t>、定期定额投资)业务的办理时间</w:t>
      </w:r>
      <w:bookmarkEnd w:id="14"/>
      <w:bookmarkEnd w:id="15"/>
      <w:r>
        <w:rPr>
          <w:rFonts w:hAnsi="宋体" w:hint="eastAsia"/>
        </w:rPr>
        <w:t xml:space="preserve"> </w:t>
      </w:r>
    </w:p>
    <w:p w:rsidR="005B473D" w:rsidRDefault="005B473D" w:rsidP="00065C80">
      <w:pPr>
        <w:spacing w:line="360" w:lineRule="auto"/>
        <w:ind w:firstLineChars="200" w:firstLine="420"/>
        <w:rPr>
          <w:rFonts w:hint="eastAsia"/>
          <w:lang/>
        </w:rPr>
      </w:pPr>
      <w:bookmarkStart w:id="24" w:name="m07_04_13_00"/>
      <w:bookmarkStart w:id="25" w:name="m201"/>
      <w:bookmarkStart w:id="26" w:name="m07_04_07_09_tab"/>
      <w:bookmarkStart w:id="27" w:name="m07_04_07_09"/>
      <w:bookmarkStart w:id="28" w:name="m201_01"/>
      <w:r>
        <w:rPr>
          <w:rFonts w:hint="eastAsia"/>
          <w:lang/>
        </w:rPr>
        <w:t>本基金自</w:t>
      </w:r>
      <w:r w:rsidR="00065C80" w:rsidRPr="00065C80">
        <w:rPr>
          <w:lang/>
        </w:rPr>
        <w:t>2023年2月14日</w:t>
      </w:r>
      <w:r>
        <w:rPr>
          <w:rFonts w:hint="eastAsia"/>
          <w:lang/>
        </w:rPr>
        <w:t>起开放日常申购业务。</w:t>
      </w:r>
      <w:r>
        <w:rPr>
          <w:rFonts w:hint="eastAsia"/>
          <w:lang/>
        </w:rPr>
        <w:br/>
        <w:t xml:space="preserve">　　</w:t>
      </w:r>
      <w:r w:rsidR="00065C80" w:rsidRPr="00065C80">
        <w:rPr>
          <w:rFonts w:hint="eastAsia"/>
          <w:lang/>
        </w:rPr>
        <w:t>投资人在开放日办理基金份额的申购和赎回，具体办理时间为上海证券交易所、深圳证券交易所的正常交易日（若本基金参与港股通交易且该交易日为非港股通交易日，则本基金有权不开放申购、赎回，具体以公司公告为准）的交易时间，但基金管理人根据法律法规、中国证监会的要求或基金合同的规定公告暂停申购、赎回时除外。</w:t>
      </w:r>
      <w:r>
        <w:rPr>
          <w:rFonts w:hint="eastAsia"/>
          <w:lang/>
        </w:rPr>
        <w:br/>
        <w:t xml:space="preserve">　　</w:t>
      </w:r>
      <w:r w:rsidR="00065C80" w:rsidRPr="00065C80">
        <w:rPr>
          <w:rFonts w:hint="eastAsia"/>
          <w:lang/>
        </w:rPr>
        <w:t>基金合同生效后，若出现新的证券</w:t>
      </w:r>
      <w:r w:rsidR="00065C80" w:rsidRPr="00065C80">
        <w:rPr>
          <w:lang/>
        </w:rPr>
        <w:t>/期货交易市场、证券/期货交易所交易时间变更或其他特殊情况，基金管理人将视情况对前述开放日及开放时间进行相应的调整，</w:t>
      </w:r>
      <w:r>
        <w:rPr>
          <w:rFonts w:hint="eastAsia"/>
          <w:lang/>
        </w:rPr>
        <w:t>但应在实施日前依照《公开募集证券投资基金信息披露管理办法》（以下简称《信息披露办法》）的有关规定在规定媒介上公告。</w:t>
      </w:r>
    </w:p>
    <w:p w:rsidR="005B473D" w:rsidRDefault="005B473D">
      <w:pPr>
        <w:pStyle w:val="XBRLTitle1"/>
        <w:spacing w:before="156" w:line="360" w:lineRule="auto"/>
        <w:rPr>
          <w:rFonts w:hAnsi="宋体" w:hint="eastAsia"/>
        </w:rPr>
      </w:pPr>
      <w:bookmarkStart w:id="29" w:name="m401_tab"/>
      <w:bookmarkStart w:id="30" w:name="m401"/>
      <w:bookmarkStart w:id="31" w:name="_Toc34841030"/>
      <w:bookmarkStart w:id="32" w:name="_Toc34758521"/>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r>
        <w:rPr>
          <w:rFonts w:hAnsi="宋体" w:hint="eastAsia"/>
        </w:rPr>
        <w:t>日常申购业务</w:t>
      </w:r>
      <w:bookmarkEnd w:id="31"/>
      <w:bookmarkEnd w:id="32"/>
      <w:r>
        <w:rPr>
          <w:rFonts w:hAnsi="宋体" w:hint="eastAsia"/>
        </w:rPr>
        <w:t xml:space="preserve"> </w:t>
      </w:r>
    </w:p>
    <w:p w:rsidR="005B473D" w:rsidRDefault="005B473D">
      <w:pPr>
        <w:pStyle w:val="XBRLTitle2"/>
        <w:spacing w:before="156" w:line="360" w:lineRule="auto"/>
        <w:rPr>
          <w:rFonts w:hAnsi="宋体" w:hint="eastAsia"/>
        </w:rPr>
      </w:pPr>
      <w:bookmarkStart w:id="41" w:name="_Toc34841031"/>
      <w:bookmarkStart w:id="42" w:name="_Toc17898181"/>
      <w:bookmarkStart w:id="43" w:name="_Toc17897939"/>
      <w:bookmarkStart w:id="44" w:name="_Toc512519483"/>
      <w:bookmarkStart w:id="45" w:name="_Toc481075050"/>
      <w:bookmarkStart w:id="46" w:name="_Toc438646456"/>
      <w:bookmarkStart w:id="47" w:name="_Toc490050004"/>
      <w:bookmarkStart w:id="48" w:name="_Toc513295849"/>
      <w:bookmarkStart w:id="49" w:name="_Toc513295895"/>
      <w:bookmarkStart w:id="50" w:name="_Toc34758522"/>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5B473D" w:rsidRDefault="005B473D" w:rsidP="00065C80">
      <w:pPr>
        <w:spacing w:line="360" w:lineRule="auto"/>
        <w:ind w:firstLineChars="200" w:firstLine="420"/>
        <w:rPr>
          <w:rFonts w:hint="eastAsia"/>
          <w:lang/>
        </w:rPr>
      </w:pPr>
      <w:r>
        <w:rPr>
          <w:rFonts w:hint="eastAsia"/>
          <w:lang/>
        </w:rPr>
        <w:t>1、</w:t>
      </w:r>
      <w:r w:rsidR="00065C80" w:rsidRPr="00065C80">
        <w:rPr>
          <w:rFonts w:hint="eastAsia"/>
          <w:lang/>
        </w:rPr>
        <w:t>基金管理人的网上交易系统每个账户首次申购的最低金额为</w:t>
      </w:r>
      <w:r w:rsidR="00065C80" w:rsidRPr="00065C80">
        <w:rPr>
          <w:lang/>
        </w:rPr>
        <w:t>10元人民币，追加单笔申购的最低金额为10元人民币；</w:t>
      </w:r>
      <w:r>
        <w:rPr>
          <w:rFonts w:hint="eastAsia"/>
          <w:lang/>
        </w:rPr>
        <w:br/>
        <w:t xml:space="preserve">　　2、</w:t>
      </w:r>
      <w:r w:rsidR="00065C80" w:rsidRPr="00065C80">
        <w:rPr>
          <w:rFonts w:hint="eastAsia"/>
          <w:lang/>
        </w:rPr>
        <w:t>直销柜台每个账户首次申购的最低金额为</w:t>
      </w:r>
      <w:r w:rsidR="00065C80" w:rsidRPr="00065C80">
        <w:rPr>
          <w:lang/>
        </w:rPr>
        <w:t>50,000元人民币；已在直销柜台有认/申购本公司旗下基金记录的投资者不受首次申购最低金额的限制，单笔申购的最低金额为10元人民币；</w:t>
      </w:r>
      <w:r>
        <w:rPr>
          <w:rFonts w:hint="eastAsia"/>
          <w:lang/>
        </w:rPr>
        <w:br/>
        <w:t xml:space="preserve">　　3、</w:t>
      </w:r>
      <w:r w:rsidR="00065C80" w:rsidRPr="00065C80">
        <w:rPr>
          <w:rFonts w:hint="eastAsia"/>
          <w:lang/>
        </w:rPr>
        <w:t>除上述情况及另有公告外，基金管理人规定每个基金账户单笔最低申购金额为人民币</w:t>
      </w:r>
      <w:r w:rsidR="00065C80" w:rsidRPr="00065C80">
        <w:rPr>
          <w:lang/>
        </w:rPr>
        <w:t xml:space="preserve"> 1 元、单笔追加申购最低金额为人民币 1 元；各销售机构可根据情况设定最低申购金额，但不得低于本基金管理人设定的最低限制，具体以销售机构公布的为准，投资者需遵循销售机构的相关规定；</w:t>
      </w:r>
      <w:r>
        <w:rPr>
          <w:rFonts w:hint="eastAsia"/>
          <w:lang/>
        </w:rPr>
        <w:br/>
        <w:t xml:space="preserve">　　4、</w:t>
      </w:r>
      <w:r w:rsidR="00065C80" w:rsidRPr="00065C80">
        <w:rPr>
          <w:rFonts w:hint="eastAsia"/>
          <w:lang/>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hint="eastAsia"/>
          <w:lang/>
        </w:rPr>
        <w:br/>
        <w:t xml:space="preserve">　　5、基金管理人可在法律法规允许的情况下，调整上述规定申购金额和赎回份额的数量限制。基金管理人必须在调整实施前依照《信息披露办法》的有关规定在规定媒介上公告。</w:t>
      </w:r>
    </w:p>
    <w:p w:rsidR="005B473D" w:rsidRPr="000E1243" w:rsidRDefault="005B473D" w:rsidP="000E1243">
      <w:pPr>
        <w:pStyle w:val="XBRLTitle2"/>
        <w:spacing w:before="156" w:line="360" w:lineRule="auto"/>
        <w:rPr>
          <w:rFonts w:hAnsi="宋体" w:hint="eastAsia"/>
        </w:rPr>
      </w:pPr>
      <w:bookmarkStart w:id="51" w:name="_Toc513465658"/>
      <w:bookmarkStart w:id="52" w:name="_Toc490050005"/>
      <w:bookmarkStart w:id="53" w:name="_Toc438646457"/>
      <w:bookmarkStart w:id="54" w:name="_Toc481075051"/>
      <w:bookmarkStart w:id="55" w:name="_Toc512519484"/>
      <w:r>
        <w:rPr>
          <w:rFonts w:hAnsi="宋体" w:hint="eastAsia"/>
        </w:rPr>
        <w:t>申购费率</w:t>
      </w:r>
      <w:bookmarkEnd w:id="51"/>
      <w:r>
        <w:rPr>
          <w:rFonts w:hAnsi="宋体" w:hint="eastAsia"/>
        </w:rPr>
        <w:t xml:space="preserve"> </w:t>
      </w:r>
    </w:p>
    <w:p w:rsidR="005B473D" w:rsidRDefault="005B473D">
      <w:pPr>
        <w:pStyle w:val="XBRLTitle3"/>
        <w:spacing w:before="156"/>
        <w:rPr>
          <w:rFonts w:hint="eastAsia"/>
          <w:lang w:eastAsia="zh-CN"/>
        </w:rPr>
      </w:pPr>
      <w:bookmarkStart w:id="56" w:name="_Toc513465659"/>
      <w:bookmarkStart w:id="57" w:name="_Toc490050006"/>
      <w:bookmarkStart w:id="58" w:name="_Toc481075052"/>
      <w:bookmarkStart w:id="59" w:name="_Toc512519485"/>
      <w:r>
        <w:rPr>
          <w:rFonts w:hint="eastAsia"/>
        </w:rPr>
        <w:t>前端收费</w:t>
      </w:r>
      <w:bookmarkEnd w:id="56"/>
      <w:r>
        <w:rPr>
          <w:rFonts w:hint="eastAsia"/>
          <w:lang w:eastAsia="zh-CN"/>
        </w:rPr>
        <w:t xml:space="preserve"> </w:t>
      </w:r>
    </w:p>
    <w:p w:rsidR="00065C80" w:rsidRDefault="00065C80">
      <w:pPr>
        <w:spacing w:line="360" w:lineRule="auto"/>
        <w:jc w:val="center"/>
        <w:divId w:val="28720857"/>
      </w:pPr>
      <w:r w:rsidRPr="00065C80">
        <w:rPr>
          <w:rFonts w:hint="eastAsia"/>
        </w:rPr>
        <w:t>投资者在申购</w:t>
      </w:r>
      <w:r w:rsidRPr="00065C80">
        <w:t>A类基金份额时，申购费率如下表：</w:t>
      </w:r>
    </w:p>
    <w:tbl>
      <w:tblPr>
        <w:tblW w:w="7730" w:type="dxa"/>
        <w:jc w:val="center"/>
        <w:tblLayout w:type="fixed"/>
        <w:tblLook w:val="04A0"/>
      </w:tblPr>
      <w:tblGrid>
        <w:gridCol w:w="5098"/>
        <w:gridCol w:w="2611"/>
        <w:gridCol w:w="21"/>
      </w:tblGrid>
      <w:tr w:rsidR="00065C80" w:rsidTr="00065C80">
        <w:trPr>
          <w:gridAfter w:val="1"/>
          <w:divId w:val="28720857"/>
          <w:wAfter w:w="21" w:type="dxa"/>
          <w:trHeight w:val="20"/>
          <w:jc w:val="center"/>
        </w:trPr>
        <w:tc>
          <w:tcPr>
            <w:tcW w:w="5098" w:type="dxa"/>
            <w:tcBorders>
              <w:top w:val="single" w:sz="4" w:space="0" w:color="auto"/>
              <w:left w:val="single" w:sz="4" w:space="0" w:color="auto"/>
              <w:bottom w:val="single" w:sz="4" w:space="0" w:color="auto"/>
              <w:right w:val="single" w:sz="4" w:space="0" w:color="auto"/>
            </w:tcBorders>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szCs w:val="21"/>
              </w:rPr>
              <w:t>申购金额（</w:t>
            </w:r>
            <w:r w:rsidRPr="00065C80">
              <w:rPr>
                <w:rFonts w:eastAsia="等线"/>
                <w:szCs w:val="21"/>
              </w:rPr>
              <w:t>M</w:t>
            </w:r>
            <w:r w:rsidRPr="00065C80">
              <w:rPr>
                <w:rFonts w:eastAsia="等线"/>
                <w:szCs w:val="21"/>
              </w:rPr>
              <w:t>，</w:t>
            </w:r>
            <w:r w:rsidRPr="00065C80">
              <w:rPr>
                <w:rFonts w:eastAsia="等线" w:hint="eastAsia"/>
                <w:szCs w:val="21"/>
              </w:rPr>
              <w:t>含申购费，</w:t>
            </w:r>
            <w:r w:rsidRPr="00065C80">
              <w:rPr>
                <w:rFonts w:eastAsia="等线"/>
                <w:szCs w:val="21"/>
              </w:rPr>
              <w:t>元）</w:t>
            </w:r>
          </w:p>
        </w:tc>
        <w:tc>
          <w:tcPr>
            <w:tcW w:w="2611" w:type="dxa"/>
            <w:tcBorders>
              <w:top w:val="single" w:sz="4" w:space="0" w:color="auto"/>
              <w:left w:val="nil"/>
              <w:bottom w:val="single" w:sz="4" w:space="0" w:color="auto"/>
              <w:right w:val="single" w:sz="4" w:space="0" w:color="auto"/>
            </w:tcBorders>
            <w:vAlign w:val="center"/>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hint="eastAsia"/>
                <w:szCs w:val="21"/>
              </w:rPr>
              <w:t>申</w:t>
            </w:r>
            <w:r w:rsidRPr="00065C80">
              <w:rPr>
                <w:rFonts w:eastAsia="等线"/>
                <w:szCs w:val="21"/>
              </w:rPr>
              <w:t>购费率</w:t>
            </w:r>
          </w:p>
        </w:tc>
      </w:tr>
      <w:tr w:rsidR="00065C80" w:rsidTr="00065C80">
        <w:trPr>
          <w:divId w:val="28720857"/>
          <w:trHeight w:val="20"/>
          <w:jc w:val="center"/>
        </w:trPr>
        <w:tc>
          <w:tcPr>
            <w:tcW w:w="5098" w:type="dxa"/>
            <w:tcBorders>
              <w:top w:val="nil"/>
              <w:left w:val="single" w:sz="4" w:space="0" w:color="auto"/>
              <w:bottom w:val="single" w:sz="4" w:space="0" w:color="auto"/>
              <w:right w:val="single" w:sz="4" w:space="0" w:color="auto"/>
            </w:tcBorders>
            <w:noWrap/>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szCs w:val="21"/>
              </w:rPr>
              <w:t>M&lt;100</w:t>
            </w:r>
            <w:r w:rsidRPr="00065C80">
              <w:rPr>
                <w:rFonts w:eastAsia="等线"/>
                <w:szCs w:val="21"/>
              </w:rPr>
              <w:t>万</w:t>
            </w:r>
          </w:p>
        </w:tc>
        <w:tc>
          <w:tcPr>
            <w:tcW w:w="2632" w:type="dxa"/>
            <w:gridSpan w:val="2"/>
            <w:tcBorders>
              <w:top w:val="nil"/>
              <w:left w:val="nil"/>
              <w:bottom w:val="single" w:sz="4" w:space="0" w:color="auto"/>
              <w:right w:val="single" w:sz="4" w:space="0" w:color="auto"/>
            </w:tcBorders>
            <w:noWrap/>
            <w:vAlign w:val="center"/>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szCs w:val="21"/>
              </w:rPr>
              <w:t>1.</w:t>
            </w:r>
            <w:r w:rsidRPr="00065C80">
              <w:rPr>
                <w:rFonts w:eastAsia="等线" w:hint="eastAsia"/>
                <w:szCs w:val="21"/>
              </w:rPr>
              <w:t>50</w:t>
            </w:r>
            <w:r w:rsidRPr="00065C80">
              <w:rPr>
                <w:rFonts w:eastAsia="等线"/>
                <w:szCs w:val="21"/>
              </w:rPr>
              <w:t>%</w:t>
            </w:r>
          </w:p>
        </w:tc>
      </w:tr>
      <w:tr w:rsidR="00065C80" w:rsidTr="00065C80">
        <w:trPr>
          <w:divId w:val="28720857"/>
          <w:trHeight w:val="20"/>
          <w:jc w:val="center"/>
        </w:trPr>
        <w:tc>
          <w:tcPr>
            <w:tcW w:w="5098" w:type="dxa"/>
            <w:tcBorders>
              <w:top w:val="nil"/>
              <w:left w:val="single" w:sz="4" w:space="0" w:color="auto"/>
              <w:bottom w:val="single" w:sz="4" w:space="0" w:color="auto"/>
              <w:right w:val="single" w:sz="4" w:space="0" w:color="auto"/>
            </w:tcBorders>
            <w:noWrap/>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szCs w:val="21"/>
              </w:rPr>
              <w:t>100</w:t>
            </w:r>
            <w:r w:rsidRPr="00065C80">
              <w:rPr>
                <w:rFonts w:eastAsia="等线"/>
                <w:szCs w:val="21"/>
              </w:rPr>
              <w:t>万</w:t>
            </w:r>
            <w:r w:rsidRPr="00065C80">
              <w:rPr>
                <w:rFonts w:eastAsia="等线"/>
                <w:szCs w:val="21"/>
              </w:rPr>
              <w:t>≤M&lt;200</w:t>
            </w:r>
            <w:r w:rsidRPr="00065C80">
              <w:rPr>
                <w:rFonts w:eastAsia="等线"/>
                <w:szCs w:val="21"/>
              </w:rPr>
              <w:t>万</w:t>
            </w:r>
          </w:p>
        </w:tc>
        <w:tc>
          <w:tcPr>
            <w:tcW w:w="2632" w:type="dxa"/>
            <w:gridSpan w:val="2"/>
            <w:tcBorders>
              <w:top w:val="nil"/>
              <w:left w:val="nil"/>
              <w:bottom w:val="single" w:sz="4" w:space="0" w:color="auto"/>
              <w:right w:val="single" w:sz="4" w:space="0" w:color="auto"/>
            </w:tcBorders>
            <w:noWrap/>
            <w:vAlign w:val="center"/>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hint="eastAsia"/>
                <w:szCs w:val="21"/>
              </w:rPr>
              <w:t>1.00</w:t>
            </w:r>
            <w:r w:rsidRPr="00065C80">
              <w:rPr>
                <w:rFonts w:eastAsia="等线"/>
                <w:szCs w:val="21"/>
              </w:rPr>
              <w:t>%</w:t>
            </w:r>
          </w:p>
        </w:tc>
      </w:tr>
      <w:tr w:rsidR="00065C80" w:rsidTr="00065C80">
        <w:trPr>
          <w:divId w:val="28720857"/>
          <w:trHeight w:val="20"/>
          <w:jc w:val="center"/>
        </w:trPr>
        <w:tc>
          <w:tcPr>
            <w:tcW w:w="5098" w:type="dxa"/>
            <w:tcBorders>
              <w:top w:val="nil"/>
              <w:left w:val="single" w:sz="4" w:space="0" w:color="auto"/>
              <w:bottom w:val="single" w:sz="4" w:space="0" w:color="auto"/>
              <w:right w:val="single" w:sz="4" w:space="0" w:color="auto"/>
            </w:tcBorders>
            <w:noWrap/>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szCs w:val="21"/>
              </w:rPr>
              <w:t>200</w:t>
            </w:r>
            <w:r w:rsidRPr="00065C80">
              <w:rPr>
                <w:rFonts w:eastAsia="等线"/>
                <w:szCs w:val="21"/>
              </w:rPr>
              <w:t>万</w:t>
            </w:r>
            <w:r w:rsidRPr="00065C80">
              <w:rPr>
                <w:rFonts w:eastAsia="等线"/>
                <w:szCs w:val="21"/>
              </w:rPr>
              <w:t>≤M&lt;500</w:t>
            </w:r>
            <w:r w:rsidRPr="00065C80">
              <w:rPr>
                <w:rFonts w:eastAsia="等线"/>
                <w:szCs w:val="21"/>
              </w:rPr>
              <w:t>万</w:t>
            </w:r>
          </w:p>
        </w:tc>
        <w:tc>
          <w:tcPr>
            <w:tcW w:w="2632" w:type="dxa"/>
            <w:gridSpan w:val="2"/>
            <w:tcBorders>
              <w:top w:val="nil"/>
              <w:left w:val="nil"/>
              <w:bottom w:val="single" w:sz="4" w:space="0" w:color="auto"/>
              <w:right w:val="single" w:sz="4" w:space="0" w:color="auto"/>
            </w:tcBorders>
            <w:noWrap/>
            <w:vAlign w:val="center"/>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szCs w:val="21"/>
              </w:rPr>
              <w:t>0.</w:t>
            </w:r>
            <w:r w:rsidRPr="00065C80">
              <w:rPr>
                <w:rFonts w:eastAsia="等线" w:hint="eastAsia"/>
                <w:szCs w:val="21"/>
              </w:rPr>
              <w:t>80</w:t>
            </w:r>
            <w:r w:rsidRPr="00065C80">
              <w:rPr>
                <w:rFonts w:eastAsia="等线"/>
                <w:szCs w:val="21"/>
              </w:rPr>
              <w:t>%</w:t>
            </w:r>
          </w:p>
        </w:tc>
      </w:tr>
      <w:tr w:rsidR="00065C80" w:rsidTr="00065C80">
        <w:trPr>
          <w:divId w:val="28720857"/>
          <w:trHeight w:val="20"/>
          <w:jc w:val="center"/>
        </w:trPr>
        <w:tc>
          <w:tcPr>
            <w:tcW w:w="5098" w:type="dxa"/>
            <w:tcBorders>
              <w:top w:val="nil"/>
              <w:left w:val="single" w:sz="4" w:space="0" w:color="auto"/>
              <w:bottom w:val="single" w:sz="4" w:space="0" w:color="auto"/>
              <w:right w:val="single" w:sz="4" w:space="0" w:color="auto"/>
            </w:tcBorders>
            <w:noWrap/>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szCs w:val="21"/>
              </w:rPr>
              <w:t>M≥500</w:t>
            </w:r>
            <w:r w:rsidRPr="00065C80">
              <w:rPr>
                <w:rFonts w:eastAsia="等线"/>
                <w:szCs w:val="21"/>
              </w:rPr>
              <w:t>万</w:t>
            </w:r>
          </w:p>
        </w:tc>
        <w:tc>
          <w:tcPr>
            <w:tcW w:w="2632" w:type="dxa"/>
            <w:gridSpan w:val="2"/>
            <w:tcBorders>
              <w:top w:val="nil"/>
              <w:left w:val="nil"/>
              <w:bottom w:val="single" w:sz="4" w:space="0" w:color="auto"/>
              <w:right w:val="single" w:sz="4" w:space="0" w:color="auto"/>
            </w:tcBorders>
            <w:noWrap/>
            <w:vAlign w:val="center"/>
          </w:tcPr>
          <w:p w:rsidR="00065C80" w:rsidRPr="00065C80" w:rsidRDefault="00065C80" w:rsidP="00BF2F4C">
            <w:pPr>
              <w:adjustRightInd w:val="0"/>
              <w:snapToGrid w:val="0"/>
              <w:spacing w:line="360" w:lineRule="auto"/>
              <w:ind w:firstLineChars="200" w:firstLine="420"/>
              <w:rPr>
                <w:rFonts w:eastAsia="等线"/>
                <w:szCs w:val="21"/>
              </w:rPr>
            </w:pPr>
            <w:r w:rsidRPr="00065C80">
              <w:rPr>
                <w:rFonts w:eastAsia="等线" w:hint="eastAsia"/>
                <w:szCs w:val="21"/>
              </w:rPr>
              <w:t>1,000</w:t>
            </w:r>
            <w:r w:rsidRPr="00065C80">
              <w:rPr>
                <w:rFonts w:eastAsia="等线" w:hint="eastAsia"/>
                <w:szCs w:val="21"/>
              </w:rPr>
              <w:t>元</w:t>
            </w:r>
            <w:r w:rsidRPr="00065C80">
              <w:rPr>
                <w:rFonts w:eastAsia="等线" w:hint="eastAsia"/>
                <w:szCs w:val="21"/>
              </w:rPr>
              <w:t>/</w:t>
            </w:r>
            <w:r w:rsidRPr="00065C80">
              <w:rPr>
                <w:rFonts w:eastAsia="等线" w:hint="eastAsia"/>
                <w:szCs w:val="21"/>
              </w:rPr>
              <w:t>笔</w:t>
            </w:r>
          </w:p>
        </w:tc>
      </w:tr>
    </w:tbl>
    <w:p w:rsidR="005B473D" w:rsidRDefault="005B473D" w:rsidP="000225E9">
      <w:pPr>
        <w:spacing w:line="360" w:lineRule="auto"/>
        <w:divId w:val="28720857"/>
        <w:rPr>
          <w:rFonts w:hint="eastAsia"/>
          <w:kern w:val="0"/>
        </w:rPr>
      </w:pPr>
    </w:p>
    <w:p w:rsidR="000225E9" w:rsidRPr="000225E9" w:rsidRDefault="005B473D" w:rsidP="000225E9">
      <w:pPr>
        <w:spacing w:line="360" w:lineRule="auto"/>
        <w:jc w:val="left"/>
        <w:rPr>
          <w:szCs w:val="21"/>
        </w:rPr>
      </w:pPr>
      <w:r>
        <w:rPr>
          <w:rFonts w:hint="eastAsia"/>
          <w:szCs w:val="21"/>
        </w:rPr>
        <w:t>注：</w:t>
      </w:r>
      <w:r w:rsidR="000225E9" w:rsidRPr="000225E9">
        <w:rPr>
          <w:rFonts w:hint="eastAsia"/>
          <w:szCs w:val="21"/>
        </w:rPr>
        <w:t>在申购费按金额分档的情况下，如果投资者多次申购</w:t>
      </w:r>
      <w:r w:rsidR="000225E9" w:rsidRPr="000225E9">
        <w:rPr>
          <w:szCs w:val="21"/>
        </w:rPr>
        <w:t>A类基金份额的，申购费适用单笔申购金额所对应的费率。本基金A类基金份额的申购费用由A类基金份额的申购人承担，主要用于本基金的市场推广、销售、登记等各项费用，不列入基金财产。</w:t>
      </w:r>
    </w:p>
    <w:p w:rsidR="005B473D" w:rsidRDefault="000225E9" w:rsidP="000225E9">
      <w:pPr>
        <w:spacing w:line="360" w:lineRule="auto"/>
        <w:ind w:firstLineChars="200" w:firstLine="420"/>
        <w:jc w:val="left"/>
        <w:rPr>
          <w:rFonts w:hint="eastAsia"/>
        </w:rPr>
      </w:pPr>
      <w:r w:rsidRPr="000225E9">
        <w:rPr>
          <w:szCs w:val="21"/>
        </w:rPr>
        <w:t>C类基金份额申购费率为0。</w:t>
      </w:r>
    </w:p>
    <w:p w:rsidR="005B473D" w:rsidRDefault="005B473D" w:rsidP="000E1243">
      <w:pPr>
        <w:pStyle w:val="XBRLTitle2"/>
        <w:spacing w:before="156"/>
      </w:pPr>
      <w:bookmarkStart w:id="60" w:name="_Toc34841033"/>
      <w:bookmarkStart w:id="61" w:name="_Toc34758524"/>
      <w:bookmarkStart w:id="62" w:name="_Toc433036679"/>
      <w:bookmarkStart w:id="63" w:name="_Toc247616208"/>
      <w:bookmarkStart w:id="64" w:name="_Toc245003735"/>
      <w:bookmarkStart w:id="65" w:name="_Toc244948694"/>
      <w:bookmarkStart w:id="66" w:name="_Toc485300223"/>
      <w:bookmarkStart w:id="67" w:name="_Toc453852604"/>
      <w:bookmarkStart w:id="68" w:name="_Toc452398732"/>
      <w:bookmarkStart w:id="69" w:name="_Toc454983260"/>
      <w:bookmarkStart w:id="70" w:name="m03_03"/>
      <w:bookmarkStart w:id="71" w:name="_Toc17898185"/>
      <w:bookmarkStart w:id="72" w:name="_Toc17897941"/>
      <w:bookmarkStart w:id="73" w:name="_Toc497398101"/>
      <w:bookmarkStart w:id="74" w:name="_Toc506208214"/>
      <w:bookmarkStart w:id="75" w:name="_Toc490050007"/>
      <w:bookmarkStart w:id="76" w:name="_Toc481075053"/>
      <w:bookmarkStart w:id="77" w:name="_Toc512519486"/>
      <w:r>
        <w:rPr>
          <w:rFonts w:hint="eastAsia"/>
        </w:rPr>
        <w:t>其他与申购相关的事项</w:t>
      </w:r>
      <w:bookmarkEnd w:id="60"/>
      <w:bookmarkEnd w:id="61"/>
    </w:p>
    <w:p w:rsidR="000E1243" w:rsidRDefault="000E1243">
      <w:pPr>
        <w:spacing w:line="360" w:lineRule="auto"/>
        <w:ind w:firstLineChars="200" w:firstLine="420"/>
        <w:rPr>
          <w:rFonts w:hint="eastAsia"/>
        </w:rPr>
      </w:pPr>
      <w:r>
        <w:rPr>
          <w:rFonts w:hint="eastAsia"/>
          <w:lang/>
        </w:rPr>
        <w:t>一）关于费率调整</w:t>
      </w:r>
      <w:r>
        <w:rPr>
          <w:rFonts w:hint="eastAsia"/>
          <w:lang/>
        </w:rPr>
        <w:br/>
        <w:t xml:space="preserve">　　基金管理人可以在法律法规和基金合同规定范围内调整申购费率或收费方式，并最迟应于新的费率或收费方式实施日前依照《信息披露办法》的有关规定在规定媒介上刊登公告。</w:t>
      </w:r>
      <w:r>
        <w:rPr>
          <w:rFonts w:hint="eastAsia"/>
          <w:lang/>
        </w:rPr>
        <w:br/>
        <w:t xml:space="preserve">　　当本基金发生大额申购情形时，基金管理人可以采用摆动定价机制，以确保基金估值的公平性。具体处理原则与操作规范遵循相关法律法规以及监管部门、自律规则的规定。</w:t>
      </w:r>
      <w:r>
        <w:rPr>
          <w:rFonts w:hint="eastAsia"/>
          <w:lang/>
        </w:rPr>
        <w:br/>
        <w:t xml:space="preserve">　　二）关于费率优惠</w:t>
      </w:r>
      <w:r>
        <w:rPr>
          <w:rFonts w:hint="eastAsia"/>
          <w:lang/>
        </w:rPr>
        <w:br/>
        <w:t xml:space="preserve">　　1、本基金在我司直销网上交易系统的申购费率实行统一的网上直销优惠费率，即申购费率高于0.6%时，银行直联模式--民生银行卡、银行直联模式—工商银行卡、银联通模式所有银行卡、天天盈模式所有银行卡、富友支付模式所有银行卡、通联支付模式银行卡按申购费率4折；银行直联模式—中国银行卡按申购费率6折、但不得低于0.6%执行；银行直联模式--建行卡按申购费率8折、但不得低于0.6%执行。申购费率低于或等于0.6%时，按申购费率执行。银行直联模式—招商银行卡按4折执行。</w:t>
      </w:r>
      <w:r>
        <w:rPr>
          <w:rFonts w:hint="eastAsia"/>
          <w:lang/>
        </w:rPr>
        <w:br/>
        <w:t xml:space="preserve">　　2、通过我司直销网上交易系统使用汇款转账资金方式认、申购本基金按该基金招募说明书及其更新版本或相关公告中规定的认、申购费率基础上实施0折优惠；原费率为固定费用的同时实施0折优惠。</w:t>
      </w:r>
      <w:r>
        <w:rPr>
          <w:rFonts w:hint="eastAsia"/>
          <w:lang/>
        </w:rPr>
        <w:br/>
        <w:t xml:space="preserve">　　3、通过我司直销渠道使用我司现金宝或其它货币市场基金购买（含转换、赎回转申购、定期定额转换、定期定额赎回转申购）本基金按该基金招募说明书及其更新版本或相关公告中规定的费率（含基金转换补差费率、赎回转申购补差费率）基础上实施 0 折优惠；原费率为固定费用的同时实施 0 折优惠。</w:t>
      </w:r>
      <w:r>
        <w:rPr>
          <w:rFonts w:hint="eastAsia"/>
          <w:lang/>
        </w:rPr>
        <w:br/>
        <w:t xml:space="preserve">　　4、本基金在我司直销柜台（包括但不限于当面、传真、语音电话等公司认可的柜台委托方式）使用汇款转帐资金方式申购旗下基金按该基金招募说明书及其更新版本或相关公告中规定的申购费率基础上实施0折优惠；原费率为固定费用的同时实施0折优惠。</w:t>
      </w:r>
    </w:p>
    <w:p w:rsidR="005B473D" w:rsidRDefault="005B473D">
      <w:pPr>
        <w:pStyle w:val="XBRLTitle1"/>
        <w:spacing w:before="156" w:line="360" w:lineRule="auto"/>
        <w:rPr>
          <w:rFonts w:hAnsi="宋体" w:hint="eastAsia"/>
        </w:rPr>
      </w:pPr>
      <w:bookmarkStart w:id="78" w:name="_Toc34841038"/>
      <w:bookmarkStart w:id="79" w:name="_Toc17898195"/>
      <w:bookmarkStart w:id="80" w:name="_Toc17897949"/>
      <w:bookmarkStart w:id="81" w:name="_Toc512519496"/>
      <w:bookmarkStart w:id="82" w:name="_Toc481075064"/>
      <w:bookmarkStart w:id="83" w:name="_Toc438646466"/>
      <w:bookmarkStart w:id="84" w:name="_Toc490050017"/>
      <w:bookmarkStart w:id="85" w:name="_Toc513295858"/>
      <w:bookmarkStart w:id="86" w:name="_Toc513295908"/>
      <w:bookmarkStart w:id="87" w:name="_Toc34758529"/>
      <w:r>
        <w:rPr>
          <w:rFonts w:hAnsi="宋体" w:hint="eastAsia"/>
        </w:rPr>
        <w:t>日常转换</w:t>
      </w:r>
      <w:r w:rsidR="00B61C93">
        <w:rPr>
          <w:rFonts w:hAnsi="宋体" w:hint="eastAsia"/>
          <w:lang w:eastAsia="zh-CN"/>
        </w:rPr>
        <w:t>转入</w:t>
      </w:r>
      <w:r>
        <w:rPr>
          <w:rFonts w:hAnsi="宋体" w:hint="eastAsia"/>
        </w:rPr>
        <w:t>业务</w:t>
      </w:r>
      <w:bookmarkEnd w:id="78"/>
      <w:bookmarkEnd w:id="79"/>
      <w:bookmarkEnd w:id="80"/>
      <w:bookmarkEnd w:id="81"/>
      <w:bookmarkEnd w:id="82"/>
      <w:bookmarkEnd w:id="83"/>
      <w:bookmarkEnd w:id="84"/>
      <w:bookmarkEnd w:id="85"/>
      <w:bookmarkEnd w:id="86"/>
      <w:bookmarkEnd w:id="87"/>
      <w:r>
        <w:rPr>
          <w:rFonts w:hAnsi="宋体" w:hint="eastAsia"/>
        </w:rPr>
        <w:t xml:space="preserve"> </w:t>
      </w:r>
    </w:p>
    <w:p w:rsidR="005B473D" w:rsidRDefault="005B473D">
      <w:pPr>
        <w:pStyle w:val="XBRLTitle2"/>
        <w:spacing w:before="156" w:line="360" w:lineRule="auto"/>
        <w:rPr>
          <w:rFonts w:hAnsi="宋体" w:hint="eastAsia"/>
        </w:rPr>
      </w:pPr>
      <w:bookmarkStart w:id="88" w:name="_Toc34841039"/>
      <w:bookmarkStart w:id="89" w:name="_Toc17898196"/>
      <w:bookmarkStart w:id="90" w:name="_Toc17897950"/>
      <w:bookmarkStart w:id="91" w:name="_Toc481075065"/>
      <w:bookmarkStart w:id="92" w:name="_Toc438646467"/>
      <w:bookmarkStart w:id="93" w:name="_Toc490050018"/>
      <w:bookmarkStart w:id="94" w:name="_Toc512519497"/>
      <w:bookmarkStart w:id="95" w:name="_Toc513295859"/>
      <w:bookmarkStart w:id="96" w:name="_Toc513295909"/>
      <w:bookmarkStart w:id="97" w:name="_Toc34758530"/>
      <w:bookmarkStart w:id="98" w:name="m501"/>
      <w:r>
        <w:rPr>
          <w:rFonts w:hAnsi="宋体" w:hint="eastAsia"/>
        </w:rPr>
        <w:t>转换费率</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5B473D" w:rsidRDefault="005B473D">
      <w:pPr>
        <w:spacing w:line="360" w:lineRule="auto"/>
        <w:ind w:firstLineChars="200" w:firstLine="420"/>
        <w:rPr>
          <w:rFonts w:hint="eastAsia"/>
        </w:rPr>
      </w:pPr>
      <w:r>
        <w:rPr>
          <w:rFonts w:hint="eastAsia"/>
          <w:lang/>
        </w:rPr>
        <w:t>基金转换是投资者按本公司规定条件将其所持有的本公司管理的一只基金份额转换为本公司管理的另一只基金份额的业务。</w:t>
      </w:r>
      <w:r>
        <w:rPr>
          <w:rFonts w:hint="eastAsia"/>
          <w:lang/>
        </w:rPr>
        <w:br/>
        <w:t xml:space="preserve">　　本基金自202</w:t>
      </w:r>
      <w:r w:rsidR="000225E9">
        <w:rPr>
          <w:lang/>
        </w:rPr>
        <w:t>3</w:t>
      </w:r>
      <w:r>
        <w:rPr>
          <w:rFonts w:hint="eastAsia"/>
          <w:lang/>
        </w:rPr>
        <w:t>年</w:t>
      </w:r>
      <w:r w:rsidR="000225E9">
        <w:rPr>
          <w:lang/>
        </w:rPr>
        <w:t>2</w:t>
      </w:r>
      <w:r>
        <w:rPr>
          <w:rFonts w:hint="eastAsia"/>
          <w:lang/>
        </w:rPr>
        <w:t>月</w:t>
      </w:r>
      <w:r w:rsidR="000225E9">
        <w:rPr>
          <w:lang/>
        </w:rPr>
        <w:t>14</w:t>
      </w:r>
      <w:r>
        <w:rPr>
          <w:rFonts w:hint="eastAsia"/>
          <w:lang/>
        </w:rPr>
        <w:t>日起在基金管理人的直销柜台、网上直销以及其他相关销售机构开始办理转换业务；本公司网上直销同时开通本基金的定期定额转换业务，适用投资者为所有已开通本公司网上直销业务的个人投资者。</w:t>
      </w:r>
      <w:r>
        <w:rPr>
          <w:rFonts w:hint="eastAsia"/>
          <w:lang/>
        </w:rPr>
        <w:br/>
        <w:t xml:space="preserve">　　1、基金转换、定期定额转换业务单笔起点为1份（转出基金份额），但某笔转换导致单个交易账户的基金份额余额少于1份时，余额部分基金份额将被同时赎回，具体的业务规则请见本公司相关公告；</w:t>
      </w:r>
      <w:r>
        <w:rPr>
          <w:rFonts w:hint="eastAsia"/>
          <w:lang/>
        </w:rPr>
        <w:br/>
        <w:t xml:space="preserve">　　2、通过本公司直销网上交易系统申购（含定期定额申购）本基金，最低转换份额为10份；其他各销售机构对申赎业务及交易级差有其他规定的，以各销售机构的业务规定为准；</w:t>
      </w:r>
      <w:r>
        <w:rPr>
          <w:rFonts w:hint="eastAsia"/>
          <w:lang/>
        </w:rPr>
        <w:br/>
        <w:t xml:space="preserve">　　办理与本基金相关的基金转换、定期定额转换时，转换费用＝转出基金赎回费＋转入金额所对应分段的申购费补差。其中：</w:t>
      </w:r>
      <w:r>
        <w:rPr>
          <w:rFonts w:hint="eastAsia"/>
          <w:lang/>
        </w:rPr>
        <w:br/>
        <w:t xml:space="preserve">　　转出金额=转出基金份额×转出基金T日基金份额净值</w:t>
      </w:r>
      <w:r>
        <w:rPr>
          <w:rFonts w:hint="eastAsia"/>
          <w:lang/>
        </w:rPr>
        <w:br/>
        <w:t xml:space="preserve">　　转出基金赎回费用=转出金额×转出基金赎回费率</w:t>
      </w:r>
      <w:r>
        <w:rPr>
          <w:rFonts w:hint="eastAsia"/>
          <w:lang/>
        </w:rPr>
        <w:br/>
        <w:t xml:space="preserve">　　转入金额=转出金额-转出基金赎回费用</w:t>
      </w:r>
      <w:r>
        <w:rPr>
          <w:rFonts w:hint="eastAsia"/>
          <w:lang/>
        </w:rPr>
        <w:br/>
        <w:t xml:space="preserve">　　补差费用=转入基金申购费-转出基金申购费</w:t>
      </w:r>
      <w:r>
        <w:rPr>
          <w:rFonts w:hint="eastAsia"/>
          <w:lang/>
        </w:rPr>
        <w:br/>
        <w:t xml:space="preserve">　　如计算所得补差费用小于0，则补差费用为0</w:t>
      </w:r>
      <w:r>
        <w:rPr>
          <w:rFonts w:hint="eastAsia"/>
          <w:lang/>
        </w:rPr>
        <w:br/>
        <w:t xml:space="preserve">　　转入基金申购费=转入金额/(1+转入基金申购费率)×转入基金申购费率</w:t>
      </w:r>
      <w:r>
        <w:rPr>
          <w:rFonts w:hint="eastAsia"/>
          <w:lang/>
        </w:rPr>
        <w:br/>
        <w:t xml:space="preserve">　　如果转入基金申购费适用固定费用时，则转入基金申购费=转入基金固定申购费</w:t>
      </w:r>
      <w:r>
        <w:rPr>
          <w:rFonts w:hint="eastAsia"/>
          <w:lang/>
        </w:rPr>
        <w:br/>
        <w:t xml:space="preserve">　　转出基金申购费=转入金额/(1+转出基金申购费率)×转出基金申购费率</w:t>
      </w:r>
      <w:r>
        <w:rPr>
          <w:rFonts w:hint="eastAsia"/>
          <w:lang/>
        </w:rPr>
        <w:br/>
        <w:t xml:space="preserve">　　如果转出基金申购费适用固定费用时，则转出基金申购费=转出基金固定申购费</w:t>
      </w:r>
      <w:r>
        <w:rPr>
          <w:rFonts w:hint="eastAsia"/>
          <w:lang/>
        </w:rPr>
        <w:br/>
        <w:t xml:space="preserve">　　净转入金额=转入金额-补差费用</w:t>
      </w:r>
      <w:r>
        <w:rPr>
          <w:rFonts w:hint="eastAsia"/>
          <w:lang/>
        </w:rPr>
        <w:br/>
        <w:t xml:space="preserve">　　转入份额=净转入金额÷转入基金T日基金份额净值</w:t>
      </w:r>
      <w:r>
        <w:rPr>
          <w:rFonts w:hint="eastAsia"/>
          <w:lang/>
        </w:rPr>
        <w:br/>
        <w:t xml:space="preserve">　　转入份额按照四舍五入方法保留到小数点后两位， 由此产生的收益或损失由基金资产承担。</w:t>
      </w:r>
      <w:r>
        <w:rPr>
          <w:rFonts w:hint="eastAsia"/>
          <w:lang/>
        </w:rPr>
        <w:br/>
        <w:t xml:space="preserve">　　本基金的直销柜台基金转换基金申购补差费用实施0折优惠。网上直销基金转换基金申购补差费用实施0折优惠。</w:t>
      </w:r>
      <w:r>
        <w:rPr>
          <w:rFonts w:hint="eastAsia"/>
          <w:lang/>
        </w:rPr>
        <w:br/>
        <w:t xml:space="preserve">　　转换费用由基金份额持有人承担，对于转出基金赎回业务收取赎回费的，基金转出时，归入基金资产部分按赎回费的处理方法计算。</w:t>
      </w:r>
      <w:r>
        <w:rPr>
          <w:rFonts w:hint="eastAsia"/>
          <w:lang/>
        </w:rPr>
        <w:br/>
        <w:t xml:space="preserve">　　本公司旗下基金的申购费率、赎回费率请详见各基金公开法律文件。</w:t>
      </w:r>
    </w:p>
    <w:p w:rsidR="005B473D" w:rsidRDefault="005B473D">
      <w:pPr>
        <w:pStyle w:val="XBRLTitle2"/>
        <w:spacing w:before="156" w:line="360" w:lineRule="auto"/>
        <w:rPr>
          <w:rFonts w:hAnsi="宋体" w:hint="eastAsia"/>
        </w:rPr>
      </w:pPr>
      <w:bookmarkStart w:id="99" w:name="_Toc34841040"/>
      <w:bookmarkStart w:id="100" w:name="_Toc17898200"/>
      <w:bookmarkStart w:id="101" w:name="_Toc17897952"/>
      <w:bookmarkStart w:id="102" w:name="_Toc481075069"/>
      <w:bookmarkStart w:id="103" w:name="_Toc490050022"/>
      <w:bookmarkStart w:id="104" w:name="_Toc512519501"/>
      <w:bookmarkStart w:id="105" w:name="_Toc513295861"/>
      <w:bookmarkStart w:id="106" w:name="_Toc513295913"/>
      <w:bookmarkStart w:id="107" w:name="_Toc34758531"/>
      <w:bookmarkStart w:id="108" w:name="m504"/>
      <w:bookmarkStart w:id="109" w:name="_Toc438646470"/>
      <w:bookmarkStart w:id="110" w:name="m502"/>
      <w:bookmarkEnd w:id="98"/>
      <w:r>
        <w:rPr>
          <w:rFonts w:hAnsi="宋体" w:hint="eastAsia"/>
        </w:rPr>
        <w:t>其他与</w:t>
      </w:r>
      <w:r w:rsidRPr="00C56A15">
        <w:rPr>
          <w:rFonts w:hAnsi="宋体" w:hint="eastAsia"/>
        </w:rPr>
        <w:t>转换相关的事项</w:t>
      </w:r>
      <w:bookmarkEnd w:id="99"/>
      <w:bookmarkEnd w:id="100"/>
      <w:bookmarkEnd w:id="101"/>
      <w:bookmarkEnd w:id="102"/>
      <w:bookmarkEnd w:id="103"/>
      <w:bookmarkEnd w:id="104"/>
      <w:bookmarkEnd w:id="105"/>
      <w:bookmarkEnd w:id="106"/>
      <w:bookmarkEnd w:id="107"/>
      <w:r>
        <w:rPr>
          <w:rFonts w:hAnsi="宋体" w:hint="eastAsia"/>
        </w:rPr>
        <w:t xml:space="preserve"> </w:t>
      </w:r>
      <w:bookmarkEnd w:id="108"/>
      <w:bookmarkEnd w:id="109"/>
      <w:bookmarkEnd w:id="110"/>
    </w:p>
    <w:p w:rsidR="00C56A15" w:rsidRDefault="00C56A15" w:rsidP="00C56A15">
      <w:pPr>
        <w:spacing w:line="360" w:lineRule="auto"/>
        <w:ind w:firstLineChars="200" w:firstLine="420"/>
        <w:rPr>
          <w:lang/>
        </w:rPr>
      </w:pPr>
      <w:r>
        <w:rPr>
          <w:rFonts w:hint="eastAsia"/>
          <w:lang/>
        </w:rPr>
        <w:t xml:space="preserve"> </w:t>
      </w:r>
      <w:r>
        <w:rPr>
          <w:lang/>
        </w:rPr>
        <w:t xml:space="preserve"> </w:t>
      </w:r>
      <w:r>
        <w:rPr>
          <w:rFonts w:hint="eastAsia"/>
          <w:lang/>
        </w:rPr>
        <w:t>开放期内投资者可办理本基金与</w:t>
      </w:r>
      <w:r w:rsidRPr="00D44A5D">
        <w:rPr>
          <w:rFonts w:hint="eastAsia"/>
          <w:lang/>
        </w:rPr>
        <w:t>以下基金的转换</w:t>
      </w:r>
      <w:r>
        <w:rPr>
          <w:rFonts w:hint="eastAsia"/>
          <w:lang/>
        </w:rPr>
        <w:t>业务：</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5663"/>
        <w:gridCol w:w="2605"/>
      </w:tblGrid>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left"/>
              <w:rPr>
                <w:rFonts w:ascii="等线" w:eastAsia="等线" w:hAnsi="等线"/>
                <w:color w:val="000000"/>
                <w:kern w:val="0"/>
                <w:sz w:val="22"/>
                <w:szCs w:val="22"/>
              </w:rPr>
            </w:pPr>
            <w:r w:rsidRPr="00D44A5D">
              <w:rPr>
                <w:rFonts w:ascii="等线" w:eastAsia="等线" w:hAnsi="等线" w:hint="eastAsia"/>
                <w:color w:val="000000"/>
                <w:kern w:val="0"/>
                <w:sz w:val="22"/>
                <w:szCs w:val="22"/>
              </w:rPr>
              <w:t>序号</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基金名称</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基金代码</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华泰柏瑞MSCI中国A股国际通交易型开放式指数证券投资基金联接基金A类/C类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006286/006293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华泰柏瑞成长智选混合型证券投资基金A类/C类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010345/010346</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华泰柏瑞创新动力灵活配置混合型证券投资基金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000967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华泰柏瑞创新升级混合型证券投资基金A类/C类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000566/010028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华泰柏瑞低碳经济智选混合型证券投资基金A类/C类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015100/015101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华泰柏瑞鼎利灵活配置混合型证券投资基金A类/C类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004010/004011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华泰柏瑞多策略灵活配置混合型证券投资基金A类/C类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003175/015450</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华泰柏瑞丰盛纯债债券型证券投资基金A类/C类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000187/000188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华泰柏瑞富利灵活配置混合型证券投资基金A类/C类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004475/014597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华泰柏瑞行业精选混合型证券投资基金A类/C类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008526/008527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华泰柏瑞行业领先混合型证券投资基金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华泰柏瑞行业严选混合型证券投资基金A类/C类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011111/011112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华泰柏瑞恒利混合型证券投资基金A类/C类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012953/012954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华泰柏瑞恒悦混合型证券投资基金A类/C类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014577/014578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华泰柏瑞恒泽混合型证券投资基金A类/C类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014579/014580</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华泰柏瑞鸿利中短债债券型证券投资基金A类/C类/E类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009093/009094/009095</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华泰柏瑞鸿益30天滚动持有短债债券型证券投资基金A类/C类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013827/013828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华泰柏瑞鸿裕90天滚动持有短债债券型证券投资基金A类/C类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014252/014253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19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华泰柏瑞沪深300交易型开放式指数证券投资基金联接基金A类/C类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460300/006131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华泰柏瑞货币市场证券投资基金A类/B类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460006/460106</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华泰柏瑞积极成长混合型证券投资基金A类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华泰柏瑞积极优选股票型证券投资基金A类/C类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001097/016283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华泰柏瑞基本面智选混合型证券投资基金A类/C类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007306/007307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华泰柏瑞激励动力灵活配置混合型证券投资基金A类/C类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001815/002082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华泰柏瑞季季红债券型证券投资基金A类/C类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000186/015370</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华泰柏瑞价值增长混合型证券投资基金A类/C类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460005/010037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华泰柏瑞健康生活灵活配置混合型证券投资基金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001398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华泰柏瑞匠心汇选混合型证券投资基金A类/C类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013847/013848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29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华泰柏瑞匠心臻选混合型证券投资基金A类/C类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014792/014793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华泰柏瑞交易型货币市场证券投资基金B类/C类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002469/012841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华泰柏瑞金字塔稳本增利债券型证券投资基金B类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华泰柏瑞锦乾债券型证券投资基金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009953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华泰柏瑞锦瑞债券型证券投资基金A类/C类/E类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008524/008525/015529</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华泰柏瑞锦泰一年定期开放债券型证券投资基金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007867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华泰柏瑞锦元债券型证券投资基金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013494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华泰柏瑞精选回报灵活配置混合型证券投资基金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001524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华泰柏瑞景利混合型证券投资基金A类/C类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010060/010061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华泰柏瑞景气成长混合型证券投资基金A类/C类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011748/011749</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39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华泰柏瑞景气回报一年持有期混合型证券投资基金A类/C类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008373/008374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华泰柏瑞景气汇选三年持有期混合型证券投资基金A类/C类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013431/013432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华泰柏瑞景气优选混合型证券投资基金A类/C类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009636/011454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华泰柏瑞聚优智选一年持有期混合型证券投资基金A类/C类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014131/014132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华泰柏瑞量化阿尔法灵活配置混合型证券投资基金A类/C类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005055/006532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华泰柏瑞量化创享混合型证券投资基金A类/C类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010137/010138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华泰柏瑞量化创盈混合型证券投资基金A类/C类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010303/010304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华泰柏瑞量化创优灵活配置混合型证券投资基金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004394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华泰柏瑞量化对冲稳健收益定期开放混合型发起式证券投资基金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002804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华泰柏瑞量化绝对收益策略定期开放混合型发起式证券投资基金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001073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华泰柏瑞量化明选混合型证券投资基金A类/C类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006942/006943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华泰柏瑞量化驱动灵活配置混合型证券投资基金A类/C类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001074/006531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华泰柏瑞量化先行混合型证券投资基金A类/C类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460009/010246</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华泰柏瑞量化优选灵活配置混合型证券投资基金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000877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华泰柏瑞量化增强混合型证券投资基金A类/C类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000172/010234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华泰柏瑞量化智慧灵活配置混合型证券投资基金A类/C类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001244/006104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华泰柏瑞南方东英恒生科技指数交易型开放式指数证券投资基金联接基金A/C类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015310/015311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华泰柏瑞品质成长混合型证券投资基金A类/C类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011357/011358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华泰柏瑞品质优选混合型证券投资基金A类/C类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009990/009991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华泰柏瑞上证红利交易型开放式指数证券投资基金联接基金A类/C类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012761/012762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59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华泰柏瑞上证科创板50成份交易型开放式指数证券投资基金联接基金A类/C类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011610/011611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华泰柏瑞生物医药灵活配置混合型证券投资基金A类/C类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004905/010031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华泰柏瑞盛世中国混合型证券投资基金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华泰柏瑞天添宝货币市场基金A类/B类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003246/003871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华泰柏瑞稳健收益债券型证券投资基金A类/C类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460008/460108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华泰柏瑞享利灵活配置混合型证券投资基金A类/C类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003591/003592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华泰柏瑞消费成长灵活配置混合型证券投资基金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001069</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华泰柏瑞新金融地产灵活配置混合型证券投资基金A类/C类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005576/016374</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华泰柏瑞新经济沪港深灵活配置混合型证券投资基金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003413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华泰柏瑞新利灵活配置混合型证券投资基金A类/C类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001247/002091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69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华泰柏瑞信用增利债券型证券投资基金B类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013788</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华泰柏瑞研究精选混合型证券投资基金A类/C类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007968/010291</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华泰柏瑞医疗健康混合型证券投资基金A类/C类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005805/011453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华泰柏瑞优势领航混合型证券投资基金A类/C类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010122/010123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华泰柏瑞远见智选混合型证券投资基金A类/C类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012748/012749</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华泰柏瑞战略新兴产业混合型证券投资基金A类/C类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005409/010032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75</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华泰柏瑞质量成长混合型证券投资基金A类/C类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008528/011452</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76</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华泰柏瑞质量精选混合型证券投资基金A类/C类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010415/010416</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77</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华泰柏瑞质量领先混合型证券投资基金A类/C类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010608/010609</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78</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华泰柏瑞中证500交易型开放式指数证券投资基金联接基金A类/C类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001214/006087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79</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华泰柏瑞中证500指数增强型证券投资基金A类/C类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014305/014306</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80</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华泰柏瑞中证光伏产业交易型开放式指数证券投资基金联接基金A类/C类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012679/012680</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81</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华泰柏瑞中证红利低波动交易型开放式指数证券投资基金联接基金A类/C类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007466/007467</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82</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华泰柏瑞中证科技100交易型开放式指数证券投资基金联接基金A类/C类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008399/008400</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83</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华泰柏瑞中证同业存单AAA指数7天持有期证券投资基金</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015863</w:t>
            </w:r>
          </w:p>
        </w:tc>
      </w:tr>
      <w:tr w:rsidR="00C56A15" w:rsidRPr="00D44A5D" w:rsidTr="00C56A15">
        <w:trPr>
          <w:trHeight w:val="285"/>
        </w:trPr>
        <w:tc>
          <w:tcPr>
            <w:tcW w:w="658" w:type="dxa"/>
            <w:shd w:val="clear" w:color="auto" w:fill="auto"/>
            <w:noWrap/>
            <w:vAlign w:val="bottom"/>
            <w:hideMark/>
          </w:tcPr>
          <w:p w:rsidR="00C56A15" w:rsidRPr="00D44A5D" w:rsidRDefault="00C56A15" w:rsidP="00BF2F4C">
            <w:pPr>
              <w:widowControl/>
              <w:jc w:val="righ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84</w:t>
            </w:r>
          </w:p>
        </w:tc>
        <w:tc>
          <w:tcPr>
            <w:tcW w:w="5663"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华泰柏瑞中证稀土产业交易型开放式指数证券投资基金发起式联接基金A类/C类</w:t>
            </w:r>
          </w:p>
        </w:tc>
        <w:tc>
          <w:tcPr>
            <w:tcW w:w="2605" w:type="dxa"/>
            <w:shd w:val="clear" w:color="auto" w:fill="auto"/>
            <w:noWrap/>
            <w:vAlign w:val="bottom"/>
            <w:hideMark/>
          </w:tcPr>
          <w:p w:rsidR="00C56A15" w:rsidRPr="00D44A5D" w:rsidRDefault="00C56A15" w:rsidP="00BF2F4C">
            <w:pPr>
              <w:widowControl/>
              <w:jc w:val="left"/>
              <w:rPr>
                <w:rFonts w:ascii="等线" w:eastAsia="等线" w:hAnsi="等线" w:hint="eastAsia"/>
                <w:color w:val="000000"/>
                <w:kern w:val="0"/>
                <w:sz w:val="22"/>
                <w:szCs w:val="22"/>
              </w:rPr>
            </w:pPr>
            <w:r w:rsidRPr="00D44A5D">
              <w:rPr>
                <w:rFonts w:ascii="等线" w:eastAsia="等线" w:hAnsi="等线" w:hint="eastAsia"/>
                <w:color w:val="000000"/>
                <w:kern w:val="0"/>
                <w:sz w:val="22"/>
                <w:szCs w:val="22"/>
              </w:rPr>
              <w:t>014331/014332</w:t>
            </w:r>
          </w:p>
        </w:tc>
      </w:tr>
      <w:tr w:rsidR="00C56A15" w:rsidRPr="00D44A5D" w:rsidTr="00C56A15">
        <w:trPr>
          <w:trHeight w:val="285"/>
        </w:trPr>
        <w:tc>
          <w:tcPr>
            <w:tcW w:w="658" w:type="dxa"/>
            <w:shd w:val="clear" w:color="auto" w:fill="auto"/>
            <w:noWrap/>
            <w:vAlign w:val="bottom"/>
          </w:tcPr>
          <w:p w:rsidR="00C56A15" w:rsidRPr="00D44A5D" w:rsidRDefault="00C56A15" w:rsidP="00BF2F4C">
            <w:pPr>
              <w:widowControl/>
              <w:jc w:val="right"/>
              <w:rPr>
                <w:rFonts w:ascii="等线" w:eastAsia="等线" w:hAnsi="等线" w:hint="eastAsia"/>
                <w:color w:val="000000"/>
                <w:kern w:val="0"/>
                <w:sz w:val="22"/>
                <w:szCs w:val="22"/>
              </w:rPr>
            </w:pPr>
            <w:r>
              <w:rPr>
                <w:rFonts w:ascii="等线" w:eastAsia="等线" w:hAnsi="等线" w:hint="eastAsia"/>
                <w:color w:val="000000"/>
                <w:kern w:val="0"/>
                <w:sz w:val="22"/>
                <w:szCs w:val="22"/>
              </w:rPr>
              <w:t>8</w:t>
            </w:r>
            <w:r>
              <w:rPr>
                <w:rFonts w:ascii="等线" w:eastAsia="等线" w:hAnsi="等线"/>
                <w:color w:val="000000"/>
                <w:kern w:val="0"/>
                <w:sz w:val="22"/>
                <w:szCs w:val="22"/>
              </w:rPr>
              <w:t>5</w:t>
            </w:r>
          </w:p>
        </w:tc>
        <w:tc>
          <w:tcPr>
            <w:tcW w:w="5663" w:type="dxa"/>
            <w:shd w:val="clear" w:color="auto" w:fill="auto"/>
            <w:noWrap/>
            <w:vAlign w:val="bottom"/>
          </w:tcPr>
          <w:p w:rsidR="00C56A15" w:rsidRPr="00D44A5D" w:rsidRDefault="00C56A15" w:rsidP="00BF2F4C">
            <w:pPr>
              <w:widowControl/>
              <w:jc w:val="left"/>
              <w:rPr>
                <w:rFonts w:ascii="等线" w:eastAsia="等线" w:hAnsi="等线" w:hint="eastAsia"/>
                <w:color w:val="000000"/>
                <w:kern w:val="0"/>
                <w:sz w:val="22"/>
                <w:szCs w:val="22"/>
              </w:rPr>
            </w:pPr>
            <w:r w:rsidRPr="00C56A15">
              <w:rPr>
                <w:rFonts w:ascii="等线" w:eastAsia="等线" w:hAnsi="等线" w:hint="eastAsia"/>
                <w:color w:val="000000"/>
                <w:kern w:val="0"/>
                <w:sz w:val="22"/>
                <w:szCs w:val="22"/>
              </w:rPr>
              <w:t>华泰柏瑞益安三个月定期开放债券型证券投资基金</w:t>
            </w:r>
          </w:p>
        </w:tc>
        <w:tc>
          <w:tcPr>
            <w:tcW w:w="2605" w:type="dxa"/>
            <w:shd w:val="clear" w:color="auto" w:fill="auto"/>
            <w:noWrap/>
            <w:vAlign w:val="bottom"/>
          </w:tcPr>
          <w:p w:rsidR="00C56A15" w:rsidRPr="00D44A5D" w:rsidRDefault="00C56A15" w:rsidP="00BF2F4C">
            <w:pPr>
              <w:widowControl/>
              <w:jc w:val="left"/>
              <w:rPr>
                <w:rFonts w:ascii="等线" w:eastAsia="等线" w:hAnsi="等线" w:hint="eastAsia"/>
                <w:color w:val="000000"/>
                <w:kern w:val="0"/>
                <w:sz w:val="22"/>
                <w:szCs w:val="22"/>
              </w:rPr>
            </w:pPr>
            <w:r>
              <w:rPr>
                <w:rFonts w:ascii="等线" w:eastAsia="等线" w:hAnsi="等线" w:hint="eastAsia"/>
                <w:color w:val="000000"/>
                <w:kern w:val="0"/>
                <w:sz w:val="22"/>
                <w:szCs w:val="22"/>
              </w:rPr>
              <w:t>0</w:t>
            </w:r>
            <w:r>
              <w:rPr>
                <w:rFonts w:ascii="等线" w:eastAsia="等线" w:hAnsi="等线"/>
                <w:color w:val="000000"/>
                <w:kern w:val="0"/>
                <w:sz w:val="22"/>
                <w:szCs w:val="22"/>
              </w:rPr>
              <w:t>15852</w:t>
            </w:r>
          </w:p>
        </w:tc>
      </w:tr>
    </w:tbl>
    <w:p w:rsidR="005B473D" w:rsidRDefault="00C56A15" w:rsidP="00C56A15">
      <w:pPr>
        <w:spacing w:line="360" w:lineRule="auto"/>
        <w:rPr>
          <w:rFonts w:hint="eastAsia"/>
        </w:rPr>
      </w:pPr>
      <w:r>
        <w:rPr>
          <w:rFonts w:hint="eastAsia"/>
          <w:lang/>
        </w:rPr>
        <w:br/>
        <w:t xml:space="preserve">　　注：1、上述目前正在封闭期内的基金不能参与此次转换；</w:t>
      </w:r>
      <w:r>
        <w:rPr>
          <w:rFonts w:hint="eastAsia"/>
          <w:lang/>
        </w:rPr>
        <w:br/>
        <w:t xml:space="preserve">　　2、基金转换的具体业务办理规则请参见各基金最新的招募说明书等公告及本公司已刊登的基金间办理转换业务的相关公告， 投资者申请基金转换时应遵循规定提交业务申请。</w:t>
      </w:r>
    </w:p>
    <w:p w:rsidR="005B473D" w:rsidRDefault="005B473D">
      <w:pPr>
        <w:pStyle w:val="XBRLTitle1"/>
        <w:spacing w:before="156" w:line="360" w:lineRule="auto"/>
        <w:rPr>
          <w:rFonts w:hAnsi="宋体" w:hint="eastAsia"/>
        </w:rPr>
      </w:pPr>
      <w:bookmarkStart w:id="111" w:name="_Toc34841041"/>
      <w:bookmarkStart w:id="112" w:name="_Toc34758532"/>
      <w:r>
        <w:rPr>
          <w:rFonts w:hAnsi="宋体" w:hint="eastAsia"/>
        </w:rPr>
        <w:t>定期定额投资业务</w:t>
      </w:r>
      <w:bookmarkEnd w:id="111"/>
      <w:bookmarkEnd w:id="112"/>
      <w:r>
        <w:rPr>
          <w:rFonts w:hAnsi="宋体" w:hint="eastAsia"/>
        </w:rPr>
        <w:t xml:space="preserve"> </w:t>
      </w:r>
    </w:p>
    <w:p w:rsidR="005B473D" w:rsidRDefault="005B473D">
      <w:pPr>
        <w:spacing w:line="360" w:lineRule="auto"/>
        <w:ind w:firstLineChars="200" w:firstLine="420"/>
        <w:rPr>
          <w:rFonts w:hint="eastAsia"/>
        </w:rPr>
      </w:pPr>
      <w:r>
        <w:rPr>
          <w:rFonts w:hint="eastAsia"/>
          <w:lang/>
        </w:rPr>
        <w:t>本基金自202</w:t>
      </w:r>
      <w:r w:rsidR="000225E9">
        <w:rPr>
          <w:lang/>
        </w:rPr>
        <w:t>3</w:t>
      </w:r>
      <w:r>
        <w:rPr>
          <w:rFonts w:hint="eastAsia"/>
          <w:lang/>
        </w:rPr>
        <w:t>年</w:t>
      </w:r>
      <w:r w:rsidR="000225E9">
        <w:rPr>
          <w:lang/>
        </w:rPr>
        <w:t>2</w:t>
      </w:r>
      <w:r>
        <w:rPr>
          <w:rFonts w:hint="eastAsia"/>
          <w:lang/>
        </w:rPr>
        <w:t>月</w:t>
      </w:r>
      <w:r w:rsidR="000225E9">
        <w:rPr>
          <w:lang/>
        </w:rPr>
        <w:t>14</w:t>
      </w:r>
      <w:r>
        <w:rPr>
          <w:rFonts w:hint="eastAsia"/>
          <w:lang/>
        </w:rPr>
        <w:t>日起在下列相关销售机构开通定期定额投资业务：</w:t>
      </w:r>
      <w:r>
        <w:rPr>
          <w:rFonts w:hint="eastAsia"/>
          <w:lang/>
        </w:rPr>
        <w:br/>
        <w:t xml:space="preserve">　　一）网上直销</w:t>
      </w:r>
      <w:r>
        <w:rPr>
          <w:rFonts w:hint="eastAsia"/>
          <w:lang/>
        </w:rPr>
        <w:br/>
        <w:t xml:space="preserve">　　本公司网上直销定期定额申购业务适用投资者为使用银行银行直联模式--中国工商银行借记卡、银行直联模式--民生银行借记卡、银行直联模式—招商银行借记卡、银行直联模式—中国银行借记卡、银联直连模式—中国建设银行借记卡（快捷模式）支付模式借记卡、通联支付模式借记卡、富友支付模式借记卡开通华泰柏瑞网上直销业务的个人投资者。</w:t>
      </w:r>
      <w:r>
        <w:rPr>
          <w:rFonts w:hint="eastAsia"/>
          <w:lang/>
        </w:rPr>
        <w:br/>
        <w:t xml:space="preserve">　　上述投资者在签署委托扣款协议后，即可通过本公司网上交易系统办理本基金的网上直销交易定期定额申购业务。</w:t>
      </w:r>
      <w:r>
        <w:rPr>
          <w:rFonts w:hint="eastAsia"/>
          <w:lang/>
        </w:rPr>
        <w:br/>
        <w:t xml:space="preserve">　　使用上述模式（除中国银行、中国建设银行外）通过网上直销办理本基金的定期定额申购，定期定额申购费率为0.6%；中国银行卡办理本基金的定期定额申购，定期定额申购费率为6折、但不得低于0.6%执行。中国建设银行卡办理本基金的定期定额申购，定期定额申购费率为8折、但不得低于0.6%执行。</w:t>
      </w:r>
      <w:r>
        <w:rPr>
          <w:rFonts w:hint="eastAsia"/>
          <w:lang/>
        </w:rPr>
        <w:br/>
        <w:t xml:space="preserve">　　网上直销定期定额申购业务单笔起点为10元（含），单笔上限为10万元（不含）。</w:t>
      </w:r>
      <w:r>
        <w:rPr>
          <w:rFonts w:hint="eastAsia"/>
          <w:lang/>
        </w:rPr>
        <w:br/>
        <w:t xml:space="preserve">　　未来如有新增网上直销定期定额申购业务的银行借记卡/资金结算模式，将另行公告。</w:t>
      </w:r>
    </w:p>
    <w:p w:rsidR="005B473D" w:rsidRDefault="005B473D">
      <w:pPr>
        <w:pStyle w:val="XBRLTitle1"/>
        <w:spacing w:before="156" w:line="360" w:lineRule="auto"/>
        <w:rPr>
          <w:rFonts w:hAnsi="宋体" w:hint="eastAsia"/>
        </w:rPr>
      </w:pPr>
      <w:bookmarkStart w:id="113" w:name="_Toc34841042"/>
      <w:bookmarkStart w:id="114" w:name="_Toc3475852111"/>
      <w:r>
        <w:rPr>
          <w:rFonts w:hAnsi="宋体" w:hint="eastAsia"/>
        </w:rPr>
        <w:t>基金销售机构</w:t>
      </w:r>
      <w:bookmarkEnd w:id="33"/>
      <w:bookmarkEnd w:id="34"/>
      <w:bookmarkEnd w:id="35"/>
      <w:bookmarkEnd w:id="36"/>
      <w:bookmarkEnd w:id="37"/>
      <w:bookmarkEnd w:id="38"/>
      <w:bookmarkEnd w:id="39"/>
      <w:bookmarkEnd w:id="40"/>
      <w:bookmarkEnd w:id="113"/>
      <w:bookmarkEnd w:id="114"/>
      <w:r>
        <w:rPr>
          <w:rFonts w:hAnsi="宋体" w:hint="eastAsia"/>
        </w:rPr>
        <w:t xml:space="preserve"> </w:t>
      </w:r>
      <w:bookmarkEnd w:id="62"/>
      <w:bookmarkEnd w:id="63"/>
      <w:bookmarkEnd w:id="64"/>
      <w:bookmarkEnd w:id="65"/>
      <w:bookmarkEnd w:id="66"/>
      <w:bookmarkEnd w:id="67"/>
      <w:bookmarkEnd w:id="68"/>
      <w:bookmarkEnd w:id="69"/>
      <w:bookmarkEnd w:id="70"/>
      <w:bookmarkEnd w:id="71"/>
      <w:bookmarkEnd w:id="72"/>
      <w:bookmarkEnd w:id="73"/>
      <w:bookmarkEnd w:id="74"/>
    </w:p>
    <w:p w:rsidR="005B473D" w:rsidRDefault="005B473D">
      <w:pPr>
        <w:pStyle w:val="XBRLTitle2"/>
        <w:spacing w:before="156" w:line="360" w:lineRule="auto"/>
        <w:rPr>
          <w:rFonts w:hAnsi="宋体" w:hint="eastAsia"/>
        </w:rPr>
      </w:pPr>
      <w:bookmarkStart w:id="115" w:name="_Toc51346565811"/>
      <w:r>
        <w:rPr>
          <w:rFonts w:hAnsi="宋体" w:hint="eastAsia"/>
        </w:rPr>
        <w:t>场外销售机构</w:t>
      </w:r>
      <w:bookmarkEnd w:id="52"/>
      <w:bookmarkEnd w:id="53"/>
      <w:bookmarkEnd w:id="54"/>
      <w:bookmarkEnd w:id="55"/>
      <w:bookmarkEnd w:id="115"/>
      <w:r>
        <w:rPr>
          <w:rFonts w:hAnsi="宋体" w:hint="eastAsia"/>
        </w:rPr>
        <w:t xml:space="preserve"> </w:t>
      </w:r>
    </w:p>
    <w:p w:rsidR="005B473D" w:rsidRDefault="005B473D">
      <w:pPr>
        <w:pStyle w:val="XBRLTitle3"/>
        <w:spacing w:before="156"/>
        <w:rPr>
          <w:rFonts w:hint="eastAsia"/>
          <w:lang w:eastAsia="zh-CN"/>
        </w:rPr>
      </w:pPr>
      <w:bookmarkStart w:id="116" w:name="_Toc51346565911"/>
      <w:r>
        <w:rPr>
          <w:rFonts w:hint="eastAsia"/>
        </w:rPr>
        <w:t>直销机构</w:t>
      </w:r>
      <w:bookmarkEnd w:id="57"/>
      <w:bookmarkEnd w:id="58"/>
      <w:bookmarkEnd w:id="59"/>
      <w:bookmarkEnd w:id="116"/>
      <w:r>
        <w:rPr>
          <w:rFonts w:hint="eastAsia"/>
          <w:lang w:eastAsia="zh-CN"/>
        </w:rPr>
        <w:t xml:space="preserve"> </w:t>
      </w:r>
    </w:p>
    <w:p w:rsidR="005B473D" w:rsidRDefault="005B473D">
      <w:pPr>
        <w:spacing w:line="360" w:lineRule="auto"/>
        <w:ind w:firstLineChars="200" w:firstLine="420"/>
        <w:rPr>
          <w:rFonts w:hint="eastAsia"/>
        </w:rPr>
      </w:pPr>
      <w:r>
        <w:rPr>
          <w:rFonts w:hint="eastAsia"/>
          <w:lang/>
        </w:rPr>
        <w:t>名 称：华泰柏瑞基金管理有限公司</w:t>
      </w:r>
      <w:r>
        <w:rPr>
          <w:rFonts w:hint="eastAsia"/>
          <w:lang/>
        </w:rPr>
        <w:br/>
        <w:t xml:space="preserve">　　办公地址：中国（上海）自由贸易试验区民生路1199弄证大五道口广场1号楼17层</w:t>
      </w:r>
      <w:r>
        <w:rPr>
          <w:rFonts w:hint="eastAsia"/>
          <w:lang/>
        </w:rPr>
        <w:br/>
        <w:t xml:space="preserve">　　注册地址：中国（上海）自由贸易试验区民生路1199弄证大五道口广场1号楼17层</w:t>
      </w:r>
      <w:r>
        <w:rPr>
          <w:rFonts w:hint="eastAsia"/>
          <w:lang/>
        </w:rPr>
        <w:br/>
        <w:t xml:space="preserve">　　法定代表人：贾波</w:t>
      </w:r>
      <w:r>
        <w:rPr>
          <w:rFonts w:hint="eastAsia"/>
          <w:lang/>
        </w:rPr>
        <w:br/>
        <w:t xml:space="preserve">　　客户服务电话：021-38784638</w:t>
      </w:r>
      <w:r>
        <w:rPr>
          <w:rFonts w:hint="eastAsia"/>
          <w:lang/>
        </w:rPr>
        <w:br/>
        <w:t xml:space="preserve">　　全国统一客户服务电话：400-888-0001</w:t>
      </w:r>
      <w:r>
        <w:rPr>
          <w:rFonts w:hint="eastAsia"/>
          <w:lang/>
        </w:rPr>
        <w:br/>
        <w:t xml:space="preserve">　　传真：021-50103016</w:t>
      </w:r>
      <w:r>
        <w:rPr>
          <w:rFonts w:hint="eastAsia"/>
          <w:lang/>
        </w:rPr>
        <w:br/>
        <w:t xml:space="preserve">　　联系人：汪莹白</w:t>
      </w:r>
      <w:r>
        <w:rPr>
          <w:rFonts w:hint="eastAsia"/>
          <w:lang/>
        </w:rPr>
        <w:br/>
        <w:t xml:space="preserve">　　公司网站：www.huatai-pb.com</w:t>
      </w:r>
      <w:r>
        <w:rPr>
          <w:rFonts w:hint="eastAsia"/>
          <w:lang/>
        </w:rPr>
        <w:br/>
        <w:t xml:space="preserve">　　投资者还可通过本公司网上直销开户、交易本基金，网上直销网址：www.huatai-pb.com。</w:t>
      </w:r>
    </w:p>
    <w:p w:rsidR="005B473D" w:rsidRDefault="005B473D">
      <w:pPr>
        <w:pStyle w:val="XBRLTitle3"/>
        <w:spacing w:before="156"/>
        <w:rPr>
          <w:rFonts w:hint="eastAsia"/>
        </w:rPr>
      </w:pPr>
      <w:bookmarkStart w:id="117" w:name="_Toc51346566011"/>
      <w:r>
        <w:rPr>
          <w:rFonts w:hint="eastAsia"/>
        </w:rPr>
        <w:t>场外</w:t>
      </w:r>
      <w:r w:rsidRPr="00431BEB">
        <w:rPr>
          <w:rFonts w:hint="eastAsia"/>
        </w:rPr>
        <w:t>非直销机</w:t>
      </w:r>
      <w:r>
        <w:rPr>
          <w:rFonts w:hint="eastAsia"/>
        </w:rPr>
        <w:t>构</w:t>
      </w:r>
      <w:bookmarkEnd w:id="75"/>
      <w:bookmarkEnd w:id="76"/>
      <w:bookmarkEnd w:id="77"/>
      <w:bookmarkEnd w:id="117"/>
    </w:p>
    <w:p w:rsidR="00C56A15" w:rsidRDefault="00C56A15" w:rsidP="00C56A15">
      <w:pPr>
        <w:pStyle w:val="XBRLTitle1"/>
        <w:numPr>
          <w:ilvl w:val="0"/>
          <w:numId w:val="0"/>
        </w:numPr>
        <w:spacing w:before="156" w:line="360" w:lineRule="auto"/>
        <w:rPr>
          <w:rFonts w:hAnsi="宋体" w:hint="eastAsia"/>
          <w:lang w:eastAsia="zh-CN"/>
        </w:rPr>
      </w:pPr>
      <w:bookmarkStart w:id="118" w:name="_Toc34841045"/>
      <w:bookmarkStart w:id="119" w:name="_Toc3475853211"/>
      <w:r>
        <w:rPr>
          <w:rFonts w:hAnsi="宋体" w:hint="eastAsia"/>
          <w:lang w:eastAsia="zh-CN"/>
        </w:rPr>
        <w:t xml:space="preserve"> </w:t>
      </w:r>
      <w:r>
        <w:rPr>
          <w:rFonts w:hAnsi="宋体"/>
          <w:lang w:eastAsia="zh-CN"/>
        </w:rPr>
        <w:t xml:space="preserve">   </w:t>
      </w:r>
      <w:r w:rsidRPr="00C56A15">
        <w:rPr>
          <w:rFonts w:hAnsi="宋体" w:hint="eastAsia"/>
          <w:b w:val="0"/>
          <w:bCs w:val="0"/>
          <w:kern w:val="2"/>
          <w:sz w:val="21"/>
          <w:szCs w:val="20"/>
          <w:lang w:val="en-US"/>
        </w:rPr>
        <w:t>本基金非直销销售机构信息详见基金管理人网站公示，敬请投资者留意。</w:t>
      </w:r>
    </w:p>
    <w:p w:rsidR="005B473D" w:rsidRDefault="00C56A15" w:rsidP="00C56A15">
      <w:pPr>
        <w:pStyle w:val="XBRLTitle1"/>
        <w:numPr>
          <w:ilvl w:val="0"/>
          <w:numId w:val="0"/>
        </w:numPr>
        <w:spacing w:before="156" w:line="360" w:lineRule="auto"/>
        <w:ind w:left="425" w:hanging="425"/>
        <w:rPr>
          <w:rFonts w:hAnsi="宋体" w:hint="eastAsia"/>
        </w:rPr>
      </w:pPr>
      <w:r>
        <w:rPr>
          <w:rFonts w:hAnsi="宋体"/>
          <w:lang w:eastAsia="zh-CN"/>
        </w:rPr>
        <w:t>7</w:t>
      </w:r>
      <w:r w:rsidR="005B473D">
        <w:rPr>
          <w:rFonts w:hAnsi="宋体" w:hint="eastAsia"/>
        </w:rPr>
        <w:t>基金份额净值公告/基金收益公告的披露安排</w:t>
      </w:r>
      <w:bookmarkEnd w:id="118"/>
      <w:bookmarkEnd w:id="119"/>
      <w:r w:rsidR="005B473D">
        <w:rPr>
          <w:rFonts w:hAnsi="宋体" w:hint="eastAsia"/>
        </w:rPr>
        <w:t xml:space="preserve"> </w:t>
      </w:r>
    </w:p>
    <w:p w:rsidR="000225E9" w:rsidRDefault="000225E9" w:rsidP="000225E9">
      <w:pPr>
        <w:spacing w:line="360" w:lineRule="auto"/>
        <w:ind w:firstLineChars="200" w:firstLine="420"/>
        <w:rPr>
          <w:lang/>
        </w:rPr>
      </w:pPr>
      <w:r>
        <w:rPr>
          <w:rFonts w:hint="eastAsia"/>
          <w:lang/>
        </w:rPr>
        <w:t>在开始办理基金份额申购或者赎回后，基金管理人应当在不晚于每个开放日的次日，通过规定网站、基金销售机构网站或者营业网点披露开放日的各类基金份额净值和基金份额累计净值。</w:t>
      </w:r>
    </w:p>
    <w:p w:rsidR="005B473D" w:rsidRDefault="000225E9" w:rsidP="000225E9">
      <w:pPr>
        <w:spacing w:line="360" w:lineRule="auto"/>
        <w:ind w:firstLineChars="200" w:firstLine="420"/>
        <w:rPr>
          <w:rFonts w:hint="eastAsia"/>
        </w:rPr>
      </w:pPr>
      <w:r>
        <w:rPr>
          <w:rFonts w:hint="eastAsia"/>
          <w:lang/>
        </w:rPr>
        <w:t>基金管理人应当在不晚于半年度和年度最后一日的次日，在规定网站披露半年度和年度最后一日的各类基金份额净值和基金份额累计净值。</w:t>
      </w:r>
      <w:r w:rsidR="005B473D">
        <w:rPr>
          <w:rFonts w:hint="eastAsia"/>
          <w:lang/>
        </w:rPr>
        <w:br/>
        <w:t xml:space="preserve">　　本基金收益分配方案由基金管理人拟定，并由基金托管人复核。基金收益分配方案确定后，由基金管理人按照《信息披露办法》的有关规定在规定媒介公告。</w:t>
      </w:r>
    </w:p>
    <w:p w:rsidR="005B473D" w:rsidRDefault="00C56A15" w:rsidP="00C56A15">
      <w:pPr>
        <w:pStyle w:val="XBRLTitle1"/>
        <w:numPr>
          <w:ilvl w:val="0"/>
          <w:numId w:val="0"/>
        </w:numPr>
        <w:spacing w:before="156" w:line="360" w:lineRule="auto"/>
        <w:rPr>
          <w:rFonts w:hAnsi="宋体" w:hint="eastAsia"/>
        </w:rPr>
      </w:pPr>
      <w:bookmarkStart w:id="120" w:name="_Toc34841046"/>
      <w:bookmarkStart w:id="121" w:name="_Toc3475853212"/>
      <w:r>
        <w:rPr>
          <w:rFonts w:hAnsi="宋体" w:hint="eastAsia"/>
          <w:lang w:eastAsia="zh-CN"/>
        </w:rPr>
        <w:t>8</w:t>
      </w:r>
      <w:r w:rsidR="005B473D">
        <w:rPr>
          <w:rFonts w:hAnsi="宋体" w:hint="eastAsia"/>
        </w:rPr>
        <w:t>其他需要提示的事项</w:t>
      </w:r>
      <w:bookmarkEnd w:id="16"/>
      <w:bookmarkEnd w:id="17"/>
      <w:bookmarkEnd w:id="18"/>
      <w:bookmarkEnd w:id="19"/>
      <w:bookmarkEnd w:id="20"/>
      <w:bookmarkEnd w:id="21"/>
      <w:bookmarkEnd w:id="22"/>
      <w:bookmarkEnd w:id="23"/>
      <w:bookmarkEnd w:id="120"/>
      <w:bookmarkEnd w:id="121"/>
      <w:r w:rsidR="005B473D">
        <w:rPr>
          <w:rFonts w:hAnsi="宋体" w:hint="eastAsia"/>
        </w:rPr>
        <w:t xml:space="preserve"> </w:t>
      </w:r>
      <w:bookmarkEnd w:id="29"/>
      <w:bookmarkEnd w:id="30"/>
    </w:p>
    <w:bookmarkEnd w:id="11"/>
    <w:p w:rsidR="005B473D" w:rsidRDefault="005B473D">
      <w:pPr>
        <w:spacing w:line="360" w:lineRule="auto"/>
        <w:ind w:firstLineChars="200" w:firstLine="420"/>
        <w:rPr>
          <w:rFonts w:hint="eastAsia"/>
        </w:rPr>
      </w:pPr>
      <w:r>
        <w:rPr>
          <w:rFonts w:hint="eastAsia"/>
          <w:lang/>
        </w:rPr>
        <w:t>一）申购和赎回申请的确认</w:t>
      </w:r>
      <w:r>
        <w:rPr>
          <w:rFonts w:hint="eastAsia"/>
          <w:lang/>
        </w:rPr>
        <w:br/>
        <w:t xml:space="preserve">　　</w:t>
      </w:r>
      <w:r w:rsidR="000225E9" w:rsidRPr="000225E9">
        <w:rPr>
          <w:rFonts w:hint="eastAsia"/>
          <w:lang/>
        </w:rPr>
        <w:t>基金管理人应以交易时间结束前受理有效申购和赎回申请的当天作为申购或赎回申请日</w:t>
      </w:r>
      <w:r w:rsidR="000225E9" w:rsidRPr="000225E9">
        <w:rPr>
          <w:lang/>
        </w:rPr>
        <w:t>(T日)，在正常情况下，本基金登记机构在T+1日内对该交易的有效性进行确认。T日提交的有效申请，投资人可在T+2日后(包括该日)到销售网点柜台或以销售机构规定的其他方式查询申请的确认情况。若申购不成立或无效，则申购款项本金退还给投资人。</w:t>
      </w:r>
      <w:r>
        <w:rPr>
          <w:rFonts w:hint="eastAsia"/>
          <w:lang/>
        </w:rPr>
        <w:br/>
        <w:t xml:space="preserve">　　</w:t>
      </w:r>
      <w:r w:rsidR="000225E9" w:rsidRPr="000225E9">
        <w:rPr>
          <w:rFonts w:hint="eastAsia"/>
          <w:lang/>
        </w:rPr>
        <w:t>在法律法规允许的范围内，本基金登记机构可根据相关业务规则，对上述业务办理时间进行调整，本基金管理人将于调整开始实施前按照有关规定予以公告。</w:t>
      </w:r>
      <w:r>
        <w:rPr>
          <w:rFonts w:hint="eastAsia"/>
          <w:lang/>
        </w:rPr>
        <w:br/>
        <w:t xml:space="preserve">　　</w:t>
      </w:r>
      <w:r w:rsidR="000225E9" w:rsidRPr="000225E9">
        <w:rPr>
          <w:rFonts w:hint="eastAsia"/>
          <w:lang/>
        </w:rPr>
        <w:t>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r>
        <w:rPr>
          <w:rFonts w:hint="eastAsia"/>
          <w:lang/>
        </w:rPr>
        <w:br/>
        <w:t xml:space="preserve">　　二）如有任何疑问，欢迎与我们联系：</w:t>
      </w:r>
      <w:r>
        <w:rPr>
          <w:rFonts w:hint="eastAsia"/>
          <w:lang/>
        </w:rPr>
        <w:br/>
        <w:t xml:space="preserve">　　客户服务中心电话：400-888-0001（免长途费），021-38784638</w:t>
      </w:r>
      <w:r>
        <w:rPr>
          <w:rFonts w:hint="eastAsia"/>
          <w:lang/>
        </w:rPr>
        <w:br/>
        <w:t xml:space="preserve">　　电子邮件地址：cs4008880001@huatai-pb.com</w:t>
      </w:r>
      <w:r>
        <w:rPr>
          <w:rFonts w:hint="eastAsia"/>
          <w:lang/>
        </w:rPr>
        <w:br/>
        <w:t xml:space="preserve">　　三）风险提示：基金管理人承诺以诚实信用、勤勉尽责的原则管理和运用基金财产，但不保证基金一定盈利，也不保证最低收益。敬请投资者于投资前认真阅读本基金的《基金合同》和《招募说明书》。</w:t>
      </w:r>
      <w:bookmarkEnd w:id="12"/>
      <w:bookmarkEnd w:id="13"/>
      <w:bookmarkEnd w:id="24"/>
      <w:bookmarkEnd w:id="25"/>
      <w:bookmarkEnd w:id="26"/>
      <w:bookmarkEnd w:id="27"/>
    </w:p>
    <w:p w:rsidR="005B473D" w:rsidRDefault="005B473D">
      <w:pPr>
        <w:spacing w:line="360" w:lineRule="auto"/>
        <w:ind w:firstLineChars="600" w:firstLine="1446"/>
        <w:jc w:val="left"/>
        <w:rPr>
          <w:rFonts w:hint="eastAsia"/>
          <w:b/>
          <w:bCs/>
          <w:sz w:val="24"/>
          <w:szCs w:val="30"/>
        </w:rPr>
      </w:pPr>
      <w:r>
        <w:rPr>
          <w:rFonts w:hint="eastAsia"/>
          <w:b/>
          <w:bCs/>
          <w:sz w:val="24"/>
          <w:szCs w:val="30"/>
        </w:rPr>
        <w:t xml:space="preserve">　 </w:t>
      </w:r>
    </w:p>
    <w:p w:rsidR="005B473D" w:rsidRDefault="005B473D">
      <w:pPr>
        <w:spacing w:line="360" w:lineRule="auto"/>
        <w:ind w:firstLineChars="600" w:firstLine="1446"/>
        <w:jc w:val="left"/>
        <w:rPr>
          <w:rFonts w:hint="eastAsia"/>
          <w:b/>
          <w:bCs/>
          <w:sz w:val="24"/>
          <w:szCs w:val="30"/>
        </w:rPr>
      </w:pPr>
      <w:r>
        <w:rPr>
          <w:rFonts w:hint="eastAsia"/>
          <w:b/>
          <w:bCs/>
          <w:sz w:val="24"/>
          <w:szCs w:val="30"/>
        </w:rPr>
        <w:t xml:space="preserve">　 </w:t>
      </w:r>
    </w:p>
    <w:p w:rsidR="005B473D" w:rsidRDefault="005B473D">
      <w:pPr>
        <w:spacing w:line="360" w:lineRule="auto"/>
        <w:ind w:firstLineChars="600" w:firstLine="1446"/>
        <w:jc w:val="right"/>
        <w:rPr>
          <w:rFonts w:hint="eastAsia"/>
        </w:rPr>
      </w:pPr>
      <w:r>
        <w:rPr>
          <w:rFonts w:hint="eastAsia"/>
          <w:b/>
          <w:bCs/>
          <w:sz w:val="24"/>
          <w:szCs w:val="24"/>
        </w:rPr>
        <w:t>华泰柏瑞基金管理有限公司</w:t>
      </w:r>
    </w:p>
    <w:p w:rsidR="005B473D" w:rsidRDefault="005B473D">
      <w:pPr>
        <w:spacing w:line="360" w:lineRule="auto"/>
        <w:ind w:firstLineChars="600" w:firstLine="1446"/>
        <w:jc w:val="right"/>
        <w:rPr>
          <w:rFonts w:hint="eastAsia"/>
        </w:rPr>
      </w:pPr>
      <w:r>
        <w:rPr>
          <w:rFonts w:hint="eastAsia"/>
          <w:b/>
          <w:bCs/>
          <w:sz w:val="24"/>
          <w:szCs w:val="24"/>
        </w:rPr>
        <w:t>202</w:t>
      </w:r>
      <w:r w:rsidR="00280BCB">
        <w:rPr>
          <w:b/>
          <w:bCs/>
          <w:sz w:val="24"/>
          <w:szCs w:val="24"/>
        </w:rPr>
        <w:t>3</w:t>
      </w:r>
      <w:r>
        <w:rPr>
          <w:rFonts w:hint="eastAsia"/>
          <w:b/>
          <w:bCs/>
          <w:sz w:val="24"/>
          <w:szCs w:val="24"/>
        </w:rPr>
        <w:t>年</w:t>
      </w:r>
      <w:r w:rsidR="00280BCB">
        <w:rPr>
          <w:b/>
          <w:bCs/>
          <w:sz w:val="24"/>
          <w:szCs w:val="24"/>
        </w:rPr>
        <w:t>2</w:t>
      </w:r>
      <w:r>
        <w:rPr>
          <w:rFonts w:hint="eastAsia"/>
          <w:b/>
          <w:bCs/>
          <w:sz w:val="24"/>
          <w:szCs w:val="24"/>
        </w:rPr>
        <w:t>月</w:t>
      </w:r>
      <w:r w:rsidR="00FB0350">
        <w:rPr>
          <w:rFonts w:hint="eastAsia"/>
          <w:b/>
          <w:bCs/>
          <w:sz w:val="24"/>
          <w:szCs w:val="24"/>
        </w:rPr>
        <w:t>1</w:t>
      </w:r>
      <w:r w:rsidR="00280BCB">
        <w:rPr>
          <w:b/>
          <w:bCs/>
          <w:sz w:val="24"/>
          <w:szCs w:val="24"/>
        </w:rPr>
        <w:t>1</w:t>
      </w:r>
      <w:r>
        <w:rPr>
          <w:rFonts w:hint="eastAsia"/>
          <w:b/>
          <w:bCs/>
          <w:sz w:val="24"/>
          <w:szCs w:val="24"/>
        </w:rPr>
        <w:t>日</w:t>
      </w:r>
      <w:bookmarkEnd w:id="28"/>
    </w:p>
    <w:sectPr w:rsidR="005B473D">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E92" w:rsidRDefault="00866E92">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866E92" w:rsidRDefault="00866E92">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3D" w:rsidRDefault="005B473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E36164">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E36164">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E92" w:rsidRDefault="00866E92">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866E92" w:rsidRDefault="00866E92">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73D" w:rsidRDefault="007C29CD">
    <w:pPr>
      <w:pStyle w:val="a8"/>
      <w:jc w:val="right"/>
      <w:rPr>
        <w:rFonts w:hint="eastAsia"/>
      </w:rPr>
    </w:pPr>
    <w:r w:rsidRPr="007C29CD">
      <w:rPr>
        <w:rFonts w:hint="eastAsia"/>
      </w:rPr>
      <w:t>华泰柏瑞行业优选</w:t>
    </w:r>
    <w:r w:rsidRPr="007C29CD">
      <w:t xml:space="preserve"> 6 个月持有期混合型证券投资基金开放日常申购、转换转入、定期定额投资等业务公告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2ED3"/>
    <w:multiLevelType w:val="hybridMultilevel"/>
    <w:tmpl w:val="177AF162"/>
    <w:lvl w:ilvl="0" w:tplc="29921202">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6BA3"/>
    <w:rsid w:val="000225E9"/>
    <w:rsid w:val="00065C80"/>
    <w:rsid w:val="000E1243"/>
    <w:rsid w:val="00235A1D"/>
    <w:rsid w:val="00280BCB"/>
    <w:rsid w:val="002A3E75"/>
    <w:rsid w:val="00431BEB"/>
    <w:rsid w:val="005416DF"/>
    <w:rsid w:val="00556BA3"/>
    <w:rsid w:val="005A7EFD"/>
    <w:rsid w:val="005B473D"/>
    <w:rsid w:val="00615F58"/>
    <w:rsid w:val="006173C5"/>
    <w:rsid w:val="006C3A59"/>
    <w:rsid w:val="007C29CD"/>
    <w:rsid w:val="00866E92"/>
    <w:rsid w:val="008B5E22"/>
    <w:rsid w:val="00AC4FE7"/>
    <w:rsid w:val="00B61C93"/>
    <w:rsid w:val="00B65996"/>
    <w:rsid w:val="00BC74C4"/>
    <w:rsid w:val="00BF2F4C"/>
    <w:rsid w:val="00BF345F"/>
    <w:rsid w:val="00C56A15"/>
    <w:rsid w:val="00CA435C"/>
    <w:rsid w:val="00CB45ED"/>
    <w:rsid w:val="00D46DFD"/>
    <w:rsid w:val="00E36164"/>
    <w:rsid w:val="00EA5532"/>
    <w:rsid w:val="00EE45DC"/>
    <w:rsid w:val="00F605F7"/>
    <w:rsid w:val="00FB03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pPr>
      <w:ind w:leftChars="200" w:left="420"/>
    </w:pPr>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e"/>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46174164">
      <w:bodyDiv w:val="1"/>
      <w:marLeft w:val="0"/>
      <w:marRight w:val="0"/>
      <w:marTop w:val="0"/>
      <w:marBottom w:val="0"/>
      <w:divBdr>
        <w:top w:val="none" w:sz="0" w:space="0" w:color="auto"/>
        <w:left w:val="none" w:sz="0" w:space="0" w:color="auto"/>
        <w:bottom w:val="none" w:sz="0" w:space="0" w:color="auto"/>
        <w:right w:val="none" w:sz="0" w:space="0" w:color="auto"/>
      </w:divBdr>
    </w:div>
    <w:div w:id="642272124">
      <w:marLeft w:val="0"/>
      <w:marRight w:val="0"/>
      <w:marTop w:val="0"/>
      <w:marBottom w:val="0"/>
      <w:divBdr>
        <w:top w:val="none" w:sz="0" w:space="0" w:color="auto"/>
        <w:left w:val="none" w:sz="0" w:space="0" w:color="auto"/>
        <w:bottom w:val="none" w:sz="0" w:space="0" w:color="auto"/>
        <w:right w:val="none" w:sz="0" w:space="0" w:color="auto"/>
      </w:divBdr>
    </w:div>
    <w:div w:id="1267231661">
      <w:marLeft w:val="0"/>
      <w:marRight w:val="0"/>
      <w:marTop w:val="0"/>
      <w:marBottom w:val="0"/>
      <w:divBdr>
        <w:top w:val="none" w:sz="0" w:space="0" w:color="auto"/>
        <w:left w:val="none" w:sz="0" w:space="0" w:color="auto"/>
        <w:bottom w:val="none" w:sz="0" w:space="0" w:color="auto"/>
        <w:right w:val="none" w:sz="0" w:space="0" w:color="auto"/>
      </w:divBdr>
    </w:div>
    <w:div w:id="1571113496">
      <w:marLeft w:val="0"/>
      <w:marRight w:val="0"/>
      <w:marTop w:val="0"/>
      <w:marBottom w:val="0"/>
      <w:divBdr>
        <w:top w:val="none" w:sz="0" w:space="0" w:color="auto"/>
        <w:left w:val="none" w:sz="0" w:space="0" w:color="auto"/>
        <w:bottom w:val="none" w:sz="0" w:space="0" w:color="auto"/>
        <w:right w:val="none" w:sz="0" w:space="0" w:color="auto"/>
      </w:divBdr>
      <w:divsChild>
        <w:div w:id="1229535318">
          <w:marLeft w:val="0"/>
          <w:marRight w:val="0"/>
          <w:marTop w:val="0"/>
          <w:marBottom w:val="0"/>
          <w:divBdr>
            <w:top w:val="none" w:sz="0" w:space="0" w:color="auto"/>
            <w:left w:val="none" w:sz="0" w:space="0" w:color="auto"/>
            <w:bottom w:val="none" w:sz="0" w:space="0" w:color="auto"/>
            <w:right w:val="none" w:sz="0" w:space="0" w:color="auto"/>
          </w:divBdr>
        </w:div>
        <w:div w:id="1329594510">
          <w:marLeft w:val="0"/>
          <w:marRight w:val="0"/>
          <w:marTop w:val="0"/>
          <w:marBottom w:val="0"/>
          <w:divBdr>
            <w:top w:val="none" w:sz="0" w:space="0" w:color="auto"/>
            <w:left w:val="none" w:sz="0" w:space="0" w:color="auto"/>
            <w:bottom w:val="none" w:sz="0" w:space="0" w:color="auto"/>
            <w:right w:val="none" w:sz="0" w:space="0" w:color="auto"/>
          </w:divBdr>
        </w:div>
      </w:divsChild>
    </w:div>
    <w:div w:id="1932154053">
      <w:marLeft w:val="0"/>
      <w:marRight w:val="0"/>
      <w:marTop w:val="0"/>
      <w:marBottom w:val="0"/>
      <w:divBdr>
        <w:top w:val="none" w:sz="0" w:space="0" w:color="auto"/>
        <w:left w:val="none" w:sz="0" w:space="0" w:color="auto"/>
        <w:bottom w:val="none" w:sz="0" w:space="0" w:color="auto"/>
        <w:right w:val="none" w:sz="0" w:space="0" w:color="auto"/>
      </w:divBdr>
      <w:divsChild>
        <w:div w:id="697778300">
          <w:marLeft w:val="0"/>
          <w:marRight w:val="0"/>
          <w:marTop w:val="0"/>
          <w:marBottom w:val="0"/>
          <w:divBdr>
            <w:top w:val="none" w:sz="0" w:space="0" w:color="auto"/>
            <w:left w:val="none" w:sz="0" w:space="0" w:color="auto"/>
            <w:bottom w:val="none" w:sz="0" w:space="0" w:color="auto"/>
            <w:right w:val="none" w:sz="0" w:space="0" w:color="auto"/>
          </w:divBdr>
          <w:divsChild>
            <w:div w:id="287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0001-3578-426B-8901-4B6AA082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7544</Characters>
  <Application>Microsoft Office Word</Application>
  <DocSecurity>4</DocSecurity>
  <Lines>62</Lines>
  <Paragraphs>17</Paragraphs>
  <ScaleCrop>false</ScaleCrop>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2023-02-10T16:00:00Z</dcterms:created>
  <dcterms:modified xsi:type="dcterms:W3CDTF">2023-02-10T16:00:00Z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