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C9" w:rsidRDefault="00643AC9">
      <w:pPr>
        <w:widowControl/>
        <w:shd w:val="clear" w:color="auto" w:fill="FFFFFF"/>
        <w:spacing w:before="240"/>
        <w:jc w:val="center"/>
        <w:rPr>
          <w:rFonts w:ascii="微软雅黑" w:eastAsia="微软雅黑" w:hAnsi="微软雅黑" w:cs="宋体"/>
          <w:b/>
          <w:bCs/>
          <w:color w:val="333333"/>
          <w:kern w:val="0"/>
          <w:sz w:val="41"/>
          <w:szCs w:val="41"/>
        </w:rPr>
      </w:pPr>
    </w:p>
    <w:p w:rsidR="00643AC9" w:rsidRDefault="00643AC9">
      <w:pPr>
        <w:widowControl/>
        <w:shd w:val="clear" w:color="auto" w:fill="FFFFFF"/>
        <w:spacing w:before="240"/>
        <w:jc w:val="center"/>
        <w:rPr>
          <w:rFonts w:ascii="微软雅黑" w:eastAsia="微软雅黑" w:hAnsi="微软雅黑" w:cs="宋体"/>
          <w:b/>
          <w:bCs/>
          <w:color w:val="333333"/>
          <w:kern w:val="0"/>
          <w:sz w:val="41"/>
          <w:szCs w:val="41"/>
        </w:rPr>
      </w:pPr>
    </w:p>
    <w:p w:rsidR="00643AC9" w:rsidRDefault="00643AC9">
      <w:pPr>
        <w:widowControl/>
        <w:shd w:val="clear" w:color="auto" w:fill="FFFFFF"/>
        <w:spacing w:before="240"/>
        <w:jc w:val="center"/>
        <w:rPr>
          <w:rFonts w:ascii="微软雅黑" w:eastAsia="微软雅黑" w:hAnsi="微软雅黑" w:cs="宋体"/>
          <w:b/>
          <w:bCs/>
          <w:color w:val="333333"/>
          <w:kern w:val="0"/>
          <w:sz w:val="41"/>
          <w:szCs w:val="41"/>
        </w:rPr>
      </w:pPr>
    </w:p>
    <w:p w:rsidR="00643AC9" w:rsidRDefault="000025B9">
      <w:pPr>
        <w:widowControl/>
        <w:shd w:val="clear" w:color="auto" w:fill="FFFFFF"/>
        <w:spacing w:before="240"/>
        <w:jc w:val="center"/>
        <w:rPr>
          <w:rFonts w:ascii="微软雅黑" w:eastAsia="微软雅黑" w:hAnsi="微软雅黑" w:cs="宋体"/>
          <w:b/>
          <w:bCs/>
          <w:color w:val="333333"/>
          <w:kern w:val="0"/>
          <w:sz w:val="48"/>
          <w:szCs w:val="48"/>
        </w:rPr>
      </w:pPr>
      <w:r>
        <w:rPr>
          <w:rFonts w:ascii="微软雅黑" w:eastAsia="微软雅黑" w:hAnsi="微软雅黑" w:cs="宋体" w:hint="eastAsia"/>
          <w:b/>
          <w:bCs/>
          <w:color w:val="333333"/>
          <w:kern w:val="0"/>
          <w:sz w:val="48"/>
          <w:szCs w:val="48"/>
        </w:rPr>
        <w:t>申万菱信价值优利混合型证券投资基金</w:t>
      </w:r>
    </w:p>
    <w:p w:rsidR="00643AC9" w:rsidRDefault="000025B9">
      <w:pPr>
        <w:widowControl/>
        <w:shd w:val="clear" w:color="auto" w:fill="FFFFFF"/>
        <w:spacing w:before="240"/>
        <w:jc w:val="center"/>
        <w:rPr>
          <w:rFonts w:ascii="微软雅黑" w:eastAsia="微软雅黑" w:hAnsi="微软雅黑" w:cs="宋体"/>
          <w:b/>
          <w:bCs/>
          <w:color w:val="333333"/>
          <w:kern w:val="0"/>
          <w:sz w:val="48"/>
          <w:szCs w:val="48"/>
        </w:rPr>
      </w:pPr>
      <w:r>
        <w:rPr>
          <w:rFonts w:ascii="微软雅黑" w:eastAsia="微软雅黑" w:hAnsi="微软雅黑" w:cs="宋体" w:hint="eastAsia"/>
          <w:b/>
          <w:bCs/>
          <w:color w:val="333333"/>
          <w:kern w:val="0"/>
          <w:sz w:val="48"/>
          <w:szCs w:val="48"/>
        </w:rPr>
        <w:t>清算报告</w:t>
      </w:r>
    </w:p>
    <w:p w:rsidR="00643AC9" w:rsidRDefault="00643AC9">
      <w:pPr>
        <w:widowControl/>
        <w:shd w:val="clear" w:color="auto" w:fill="FFFFFF"/>
        <w:spacing w:before="750"/>
        <w:jc w:val="left"/>
        <w:rPr>
          <w:rFonts w:ascii="微软雅黑" w:eastAsia="微软雅黑" w:hAnsi="微软雅黑" w:cs="宋体"/>
          <w:b/>
          <w:bCs/>
          <w:color w:val="333333"/>
          <w:kern w:val="0"/>
          <w:sz w:val="29"/>
          <w:szCs w:val="29"/>
        </w:rPr>
      </w:pPr>
    </w:p>
    <w:p w:rsidR="00643AC9" w:rsidRDefault="00643AC9">
      <w:pPr>
        <w:widowControl/>
        <w:shd w:val="clear" w:color="auto" w:fill="FFFFFF"/>
        <w:spacing w:before="750"/>
        <w:jc w:val="left"/>
        <w:rPr>
          <w:rFonts w:ascii="微软雅黑" w:eastAsia="微软雅黑" w:hAnsi="微软雅黑" w:cs="宋体"/>
          <w:b/>
          <w:bCs/>
          <w:color w:val="333333"/>
          <w:kern w:val="0"/>
          <w:sz w:val="29"/>
          <w:szCs w:val="29"/>
        </w:rPr>
      </w:pPr>
    </w:p>
    <w:p w:rsidR="00643AC9" w:rsidRDefault="000025B9">
      <w:pPr>
        <w:widowControl/>
        <w:shd w:val="clear" w:color="auto" w:fill="FFFFFF"/>
        <w:spacing w:before="750"/>
        <w:ind w:firstLineChars="537" w:firstLine="1557"/>
        <w:rPr>
          <w:rFonts w:ascii="微软雅黑" w:eastAsia="微软雅黑" w:hAnsi="微软雅黑" w:cs="宋体"/>
          <w:b/>
          <w:bCs/>
          <w:color w:val="333333"/>
          <w:kern w:val="0"/>
          <w:sz w:val="29"/>
          <w:szCs w:val="29"/>
        </w:rPr>
      </w:pPr>
      <w:r>
        <w:rPr>
          <w:rFonts w:ascii="微软雅黑" w:eastAsia="微软雅黑" w:hAnsi="微软雅黑" w:cs="宋体" w:hint="eastAsia"/>
          <w:b/>
          <w:bCs/>
          <w:color w:val="333333"/>
          <w:kern w:val="0"/>
          <w:sz w:val="29"/>
          <w:szCs w:val="29"/>
        </w:rPr>
        <w:t>基金管理人：申万菱信基金管理有限公司</w:t>
      </w:r>
    </w:p>
    <w:p w:rsidR="00643AC9" w:rsidRDefault="000025B9">
      <w:pPr>
        <w:widowControl/>
        <w:shd w:val="clear" w:color="auto" w:fill="FFFFFF"/>
        <w:spacing w:before="240"/>
        <w:jc w:val="center"/>
        <w:rPr>
          <w:rFonts w:ascii="微软雅黑" w:eastAsia="微软雅黑" w:hAnsi="微软雅黑" w:cs="宋体"/>
          <w:b/>
          <w:bCs/>
          <w:color w:val="333333"/>
          <w:kern w:val="0"/>
          <w:sz w:val="29"/>
          <w:szCs w:val="29"/>
        </w:rPr>
      </w:pPr>
      <w:r>
        <w:rPr>
          <w:rFonts w:ascii="微软雅黑" w:eastAsia="微软雅黑" w:hAnsi="微软雅黑" w:cs="宋体" w:hint="eastAsia"/>
          <w:b/>
          <w:bCs/>
          <w:color w:val="333333"/>
          <w:kern w:val="0"/>
          <w:sz w:val="29"/>
          <w:szCs w:val="29"/>
        </w:rPr>
        <w:t>基金托管人：中国民生银行股份有限公司</w:t>
      </w:r>
    </w:p>
    <w:p w:rsidR="00643AC9" w:rsidRDefault="000025B9">
      <w:pPr>
        <w:widowControl/>
        <w:shd w:val="clear" w:color="auto" w:fill="FFFFFF"/>
        <w:spacing w:before="240"/>
        <w:ind w:firstLineChars="537" w:firstLine="1557"/>
        <w:rPr>
          <w:rFonts w:ascii="微软雅黑" w:eastAsia="微软雅黑" w:hAnsi="微软雅黑" w:cs="宋体"/>
          <w:b/>
          <w:bCs/>
          <w:color w:val="333333"/>
          <w:kern w:val="0"/>
          <w:sz w:val="29"/>
          <w:szCs w:val="29"/>
        </w:rPr>
      </w:pPr>
      <w:r>
        <w:rPr>
          <w:rFonts w:ascii="微软雅黑" w:eastAsia="微软雅黑" w:hAnsi="微软雅黑" w:cs="宋体" w:hint="eastAsia"/>
          <w:b/>
          <w:bCs/>
          <w:color w:val="333333"/>
          <w:kern w:val="0"/>
          <w:sz w:val="29"/>
          <w:szCs w:val="29"/>
        </w:rPr>
        <w:t>清算报告出具日：202</w:t>
      </w:r>
      <w:r>
        <w:rPr>
          <w:rFonts w:ascii="微软雅黑" w:eastAsia="微软雅黑" w:hAnsi="微软雅黑" w:cs="宋体"/>
          <w:b/>
          <w:bCs/>
          <w:color w:val="333333"/>
          <w:kern w:val="0"/>
          <w:sz w:val="29"/>
          <w:szCs w:val="29"/>
        </w:rPr>
        <w:t>2</w:t>
      </w:r>
      <w:r>
        <w:rPr>
          <w:rFonts w:ascii="微软雅黑" w:eastAsia="微软雅黑" w:hAnsi="微软雅黑" w:cs="宋体" w:hint="eastAsia"/>
          <w:b/>
          <w:bCs/>
          <w:color w:val="333333"/>
          <w:kern w:val="0"/>
          <w:sz w:val="29"/>
          <w:szCs w:val="29"/>
        </w:rPr>
        <w:t>年</w:t>
      </w:r>
      <w:r>
        <w:rPr>
          <w:rFonts w:ascii="微软雅黑" w:eastAsia="微软雅黑" w:hAnsi="微软雅黑" w:cs="宋体"/>
          <w:b/>
          <w:bCs/>
          <w:color w:val="333333"/>
          <w:kern w:val="0"/>
          <w:sz w:val="29"/>
          <w:szCs w:val="29"/>
        </w:rPr>
        <w:t>12</w:t>
      </w:r>
      <w:r>
        <w:rPr>
          <w:rFonts w:ascii="微软雅黑" w:eastAsia="微软雅黑" w:hAnsi="微软雅黑" w:cs="宋体" w:hint="eastAsia"/>
          <w:b/>
          <w:bCs/>
          <w:color w:val="333333"/>
          <w:kern w:val="0"/>
          <w:sz w:val="29"/>
          <w:szCs w:val="29"/>
        </w:rPr>
        <w:t>月</w:t>
      </w:r>
      <w:r>
        <w:rPr>
          <w:rFonts w:ascii="微软雅黑" w:eastAsia="微软雅黑" w:hAnsi="微软雅黑" w:cs="宋体"/>
          <w:b/>
          <w:bCs/>
          <w:color w:val="333333"/>
          <w:kern w:val="0"/>
          <w:sz w:val="29"/>
          <w:szCs w:val="29"/>
        </w:rPr>
        <w:t>21</w:t>
      </w:r>
      <w:r>
        <w:rPr>
          <w:rFonts w:ascii="微软雅黑" w:eastAsia="微软雅黑" w:hAnsi="微软雅黑" w:cs="宋体" w:hint="eastAsia"/>
          <w:b/>
          <w:bCs/>
          <w:color w:val="333333"/>
          <w:kern w:val="0"/>
          <w:sz w:val="29"/>
          <w:szCs w:val="29"/>
        </w:rPr>
        <w:t>日</w:t>
      </w:r>
    </w:p>
    <w:p w:rsidR="00643AC9" w:rsidRDefault="000025B9">
      <w:pPr>
        <w:widowControl/>
        <w:shd w:val="clear" w:color="auto" w:fill="FFFFFF"/>
        <w:tabs>
          <w:tab w:val="left" w:pos="1560"/>
        </w:tabs>
        <w:spacing w:before="240"/>
        <w:ind w:firstLineChars="537" w:firstLine="1557"/>
        <w:rPr>
          <w:rFonts w:ascii="微软雅黑" w:eastAsia="微软雅黑" w:hAnsi="微软雅黑" w:cs="宋体"/>
          <w:b/>
          <w:bCs/>
          <w:color w:val="333333"/>
          <w:kern w:val="0"/>
          <w:sz w:val="29"/>
          <w:szCs w:val="29"/>
        </w:rPr>
      </w:pPr>
      <w:r>
        <w:rPr>
          <w:rFonts w:ascii="微软雅黑" w:eastAsia="微软雅黑" w:hAnsi="微软雅黑" w:cs="宋体" w:hint="eastAsia"/>
          <w:b/>
          <w:bCs/>
          <w:color w:val="333333"/>
          <w:kern w:val="0"/>
          <w:sz w:val="29"/>
          <w:szCs w:val="29"/>
        </w:rPr>
        <w:t>清算报告公告日：202</w:t>
      </w:r>
      <w:r>
        <w:rPr>
          <w:rFonts w:ascii="微软雅黑" w:eastAsia="微软雅黑" w:hAnsi="微软雅黑" w:cs="宋体"/>
          <w:b/>
          <w:bCs/>
          <w:color w:val="333333"/>
          <w:kern w:val="0"/>
          <w:sz w:val="29"/>
          <w:szCs w:val="29"/>
        </w:rPr>
        <w:t>3</w:t>
      </w:r>
      <w:r>
        <w:rPr>
          <w:rFonts w:ascii="微软雅黑" w:eastAsia="微软雅黑" w:hAnsi="微软雅黑" w:cs="宋体" w:hint="eastAsia"/>
          <w:b/>
          <w:bCs/>
          <w:color w:val="333333"/>
          <w:kern w:val="0"/>
          <w:sz w:val="29"/>
          <w:szCs w:val="29"/>
        </w:rPr>
        <w:t>年</w:t>
      </w:r>
      <w:r>
        <w:rPr>
          <w:rFonts w:ascii="微软雅黑" w:eastAsia="微软雅黑" w:hAnsi="微软雅黑" w:cs="宋体"/>
          <w:b/>
          <w:bCs/>
          <w:color w:val="333333"/>
          <w:kern w:val="0"/>
          <w:sz w:val="29"/>
          <w:szCs w:val="29"/>
        </w:rPr>
        <w:t>2</w:t>
      </w:r>
      <w:r>
        <w:rPr>
          <w:rFonts w:ascii="微软雅黑" w:eastAsia="微软雅黑" w:hAnsi="微软雅黑" w:cs="宋体" w:hint="eastAsia"/>
          <w:b/>
          <w:bCs/>
          <w:color w:val="333333"/>
          <w:kern w:val="0"/>
          <w:sz w:val="29"/>
          <w:szCs w:val="29"/>
        </w:rPr>
        <w:t>月</w:t>
      </w:r>
      <w:r>
        <w:rPr>
          <w:rFonts w:ascii="微软雅黑" w:eastAsia="微软雅黑" w:hAnsi="微软雅黑" w:cs="宋体"/>
          <w:b/>
          <w:bCs/>
          <w:color w:val="333333"/>
          <w:kern w:val="0"/>
          <w:sz w:val="29"/>
          <w:szCs w:val="29"/>
        </w:rPr>
        <w:t>9</w:t>
      </w:r>
      <w:r>
        <w:rPr>
          <w:rFonts w:ascii="微软雅黑" w:eastAsia="微软雅黑" w:hAnsi="微软雅黑" w:cs="宋体" w:hint="eastAsia"/>
          <w:b/>
          <w:bCs/>
          <w:color w:val="333333"/>
          <w:kern w:val="0"/>
          <w:sz w:val="29"/>
          <w:szCs w:val="29"/>
        </w:rPr>
        <w:t>日</w:t>
      </w:r>
    </w:p>
    <w:p w:rsidR="00643AC9" w:rsidRDefault="00643AC9">
      <w:pPr>
        <w:widowControl/>
        <w:shd w:val="clear" w:color="auto" w:fill="FFFFFF"/>
        <w:spacing w:before="150" w:after="150"/>
        <w:jc w:val="center"/>
        <w:outlineLvl w:val="3"/>
        <w:rPr>
          <w:rFonts w:ascii="微软雅黑" w:eastAsia="微软雅黑" w:hAnsi="微软雅黑" w:cs="宋体"/>
          <w:b/>
          <w:bCs/>
          <w:color w:val="333333"/>
          <w:kern w:val="0"/>
          <w:sz w:val="27"/>
          <w:szCs w:val="27"/>
        </w:rPr>
      </w:pPr>
    </w:p>
    <w:p w:rsidR="00643AC9" w:rsidRDefault="000025B9">
      <w:pPr>
        <w:widowControl/>
        <w:shd w:val="clear" w:color="auto" w:fill="FFFFFF"/>
        <w:spacing w:before="150" w:after="150"/>
        <w:jc w:val="center"/>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lastRenderedPageBreak/>
        <w:t>一、 重要提示</w:t>
      </w:r>
    </w:p>
    <w:p w:rsidR="00643AC9" w:rsidRDefault="000025B9">
      <w:pPr>
        <w:widowControl/>
        <w:shd w:val="clear" w:color="auto" w:fill="FFFFFF"/>
        <w:spacing w:before="525"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申万菱信价值优利混合型证券投资基金（以下简称“本基金”）经中国证券监督管理委员会（以下简称“中国证监会”）证监许可【2017】848 号文注册募集，于</w:t>
      </w:r>
      <w:r>
        <w:rPr>
          <w:rFonts w:ascii="微软雅黑" w:eastAsia="微软雅黑" w:hAnsi="微软雅黑" w:cs="宋体"/>
          <w:color w:val="333333"/>
          <w:kern w:val="0"/>
          <w:sz w:val="24"/>
          <w:szCs w:val="24"/>
        </w:rPr>
        <w:t>2017</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9</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21</w:t>
      </w:r>
      <w:r>
        <w:rPr>
          <w:rFonts w:ascii="微软雅黑" w:eastAsia="微软雅黑" w:hAnsi="微软雅黑" w:cs="宋体" w:hint="eastAsia"/>
          <w:color w:val="333333"/>
          <w:kern w:val="0"/>
          <w:sz w:val="24"/>
          <w:szCs w:val="24"/>
        </w:rPr>
        <w:t>日成立并正式运作，本基金的基金管理人为申万菱信基金管理有限公司（以下简称“基金管理人”或“本基金管理人”），基金托管人为中国民生银行股份有限公司（以下简称“基金托管人”）。</w:t>
      </w:r>
    </w:p>
    <w:p w:rsidR="00643AC9" w:rsidRDefault="000025B9">
      <w:pPr>
        <w:widowControl/>
        <w:shd w:val="clear" w:color="auto" w:fill="FFFFFF"/>
        <w:spacing w:before="240" w:line="420" w:lineRule="atLeast"/>
        <w:jc w:val="left"/>
        <w:rPr>
          <w:rFonts w:ascii="微软雅黑" w:eastAsia="微软雅黑" w:hAnsi="微软雅黑" w:cs="宋体"/>
          <w:color w:val="333333"/>
          <w:kern w:val="0"/>
          <w:sz w:val="24"/>
          <w:szCs w:val="24"/>
        </w:rPr>
      </w:pPr>
      <w:r>
        <w:rPr>
          <w:rFonts w:ascii="微软雅黑" w:eastAsia="微软雅黑" w:hAnsi="微软雅黑" w:hint="eastAsia"/>
          <w:sz w:val="24"/>
          <w:szCs w:val="24"/>
        </w:rPr>
        <w:t xml:space="preserve">    依据《中华人民共和国证券投资基金法》、《公开募集证券投资基金运作管理办法》等法律法规的规定以及《申万菱信价值优利混合型证券投资基金基金合同》（以下简称“《基金合同》”）的有关规定，“基金合同生效后，连续20个工作日出现基金份额持有人数量不满200人或者基金资产净值低于5000万元情形的，基金管理人应当在定期报告中予以披露；连续60个工作日出现前述情形的，本基金将根据基金合同的约定进入清算程序并终止，而无需召开基金份额持有人大会审议。”</w:t>
      </w:r>
    </w:p>
    <w:p w:rsidR="00643AC9" w:rsidRDefault="000025B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bCs/>
          <w:kern w:val="0"/>
          <w:sz w:val="24"/>
          <w:szCs w:val="24"/>
        </w:rPr>
        <w:t>截至2022年11月17日日终，本基金已经出现连续60个工作日基金资产净值低于 5000 万元的情形，已触发基金合同中约定的上述基金合同终止条款。</w:t>
      </w:r>
      <w:r>
        <w:rPr>
          <w:rFonts w:ascii="微软雅黑" w:eastAsia="微软雅黑" w:hAnsi="微软雅黑" w:cs="宋体" w:hint="eastAsia"/>
          <w:color w:val="333333"/>
          <w:kern w:val="0"/>
          <w:sz w:val="24"/>
          <w:szCs w:val="24"/>
        </w:rPr>
        <w:t>本基金于202</w:t>
      </w:r>
      <w:r>
        <w:rPr>
          <w:rFonts w:ascii="微软雅黑" w:eastAsia="微软雅黑" w:hAnsi="微软雅黑" w:cs="宋体"/>
          <w:color w:val="333333"/>
          <w:kern w:val="0"/>
          <w:sz w:val="24"/>
          <w:szCs w:val="24"/>
        </w:rPr>
        <w:t>2</w:t>
      </w:r>
      <w:r>
        <w:rPr>
          <w:rFonts w:ascii="微软雅黑" w:eastAsia="微软雅黑" w:hAnsi="微软雅黑" w:cs="宋体" w:hint="eastAsia"/>
          <w:color w:val="333333"/>
          <w:kern w:val="0"/>
          <w:sz w:val="24"/>
          <w:szCs w:val="24"/>
        </w:rPr>
        <w:t>年1</w:t>
      </w:r>
      <w:r>
        <w:rPr>
          <w:rFonts w:ascii="微软雅黑" w:eastAsia="微软雅黑" w:hAnsi="微软雅黑" w:cs="宋体"/>
          <w:color w:val="333333"/>
          <w:kern w:val="0"/>
          <w:sz w:val="24"/>
          <w:szCs w:val="24"/>
        </w:rPr>
        <w:t>1</w:t>
      </w:r>
      <w:r>
        <w:rPr>
          <w:rFonts w:ascii="微软雅黑" w:eastAsia="微软雅黑" w:hAnsi="微软雅黑" w:cs="宋体" w:hint="eastAsia"/>
          <w:color w:val="333333"/>
          <w:kern w:val="0"/>
          <w:sz w:val="24"/>
          <w:szCs w:val="24"/>
        </w:rPr>
        <w:t>月1</w:t>
      </w:r>
      <w:r>
        <w:rPr>
          <w:rFonts w:ascii="微软雅黑" w:eastAsia="微软雅黑" w:hAnsi="微软雅黑" w:cs="宋体"/>
          <w:color w:val="333333"/>
          <w:kern w:val="0"/>
          <w:sz w:val="24"/>
          <w:szCs w:val="24"/>
        </w:rPr>
        <w:t>8</w:t>
      </w:r>
      <w:r>
        <w:rPr>
          <w:rFonts w:ascii="微软雅黑" w:eastAsia="微软雅黑" w:hAnsi="微软雅黑" w:cs="宋体" w:hint="eastAsia"/>
          <w:color w:val="333333"/>
          <w:kern w:val="0"/>
          <w:sz w:val="24"/>
          <w:szCs w:val="24"/>
        </w:rPr>
        <w:t>日进入基金财产清算程序。</w:t>
      </w:r>
    </w:p>
    <w:p w:rsidR="00643AC9" w:rsidRDefault="000025B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本基金基金合同终止及基金财产清算安排详见202</w:t>
      </w:r>
      <w:r>
        <w:rPr>
          <w:rFonts w:ascii="微软雅黑" w:eastAsia="微软雅黑" w:hAnsi="微软雅黑" w:cs="宋体"/>
          <w:color w:val="333333"/>
          <w:kern w:val="0"/>
          <w:sz w:val="24"/>
          <w:szCs w:val="24"/>
        </w:rPr>
        <w:t>2</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11</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18</w:t>
      </w:r>
      <w:r>
        <w:rPr>
          <w:rFonts w:ascii="微软雅黑" w:eastAsia="微软雅黑" w:hAnsi="微软雅黑" w:cs="宋体" w:hint="eastAsia"/>
          <w:color w:val="333333"/>
          <w:kern w:val="0"/>
          <w:sz w:val="24"/>
          <w:szCs w:val="24"/>
        </w:rPr>
        <w:t>日发布的在本基金管理人网站（www.swsmu.com）和中国证监会基金电子披露网站（http://eid.csrc.gov.cn）的《申万菱信基金管理有限公司关于申万菱信价值优利混合型证券投资基金基金合同终止及基金财产清算的公告》。</w:t>
      </w:r>
    </w:p>
    <w:p w:rsidR="00643AC9" w:rsidRDefault="000025B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本基金清算期为2022年</w:t>
      </w:r>
      <w:r>
        <w:rPr>
          <w:rFonts w:ascii="微软雅黑" w:eastAsia="微软雅黑" w:hAnsi="微软雅黑" w:cs="宋体"/>
          <w:color w:val="333333"/>
          <w:kern w:val="0"/>
          <w:sz w:val="24"/>
          <w:szCs w:val="24"/>
        </w:rPr>
        <w:t>11</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18</w:t>
      </w:r>
      <w:r>
        <w:rPr>
          <w:rFonts w:ascii="微软雅黑" w:eastAsia="微软雅黑" w:hAnsi="微软雅黑" w:cs="宋体" w:hint="eastAsia"/>
          <w:color w:val="333333"/>
          <w:kern w:val="0"/>
          <w:sz w:val="24"/>
          <w:szCs w:val="24"/>
        </w:rPr>
        <w:t>日至2022年12月21日，由基金管理人、基金托管人、毕马威华振会计师事务所（特殊普通合伙）、上海市通力律师事务所组成基金财产清算小组履行基金财产清算程序，并由毕马威华振会计师事务所（特殊普通合伙）对清算报告进行审计，上海市通力律师事务所对清算报告出具法律意见。</w:t>
      </w:r>
    </w:p>
    <w:p w:rsidR="00643AC9" w:rsidRDefault="000025B9">
      <w:pPr>
        <w:widowControl/>
        <w:shd w:val="clear" w:color="auto" w:fill="FFFFFF"/>
        <w:spacing w:before="150" w:after="150"/>
        <w:jc w:val="center"/>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二、 基金概况</w:t>
      </w:r>
    </w:p>
    <w:p w:rsidR="00643AC9" w:rsidRDefault="000025B9">
      <w:pPr>
        <w:widowControl/>
        <w:shd w:val="clear" w:color="auto" w:fill="FFFFFF"/>
        <w:spacing w:before="150" w:after="150"/>
        <w:outlineLvl w:val="3"/>
        <w:rPr>
          <w:rFonts w:ascii="微软雅黑" w:eastAsia="微软雅黑" w:hAnsi="微软雅黑" w:cs="宋体"/>
          <w:b/>
          <w:bCs/>
          <w:color w:val="333333"/>
          <w:kern w:val="0"/>
          <w:sz w:val="27"/>
          <w:szCs w:val="27"/>
        </w:rPr>
      </w:pPr>
      <w:r>
        <w:rPr>
          <w:rFonts w:ascii="微软雅黑" w:eastAsia="微软雅黑" w:hAnsi="微软雅黑" w:cs="宋体" w:hint="eastAsia"/>
          <w:color w:val="333333"/>
          <w:kern w:val="0"/>
          <w:sz w:val="24"/>
          <w:szCs w:val="24"/>
        </w:rPr>
        <w:t>1、基金基本情况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基金名称</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申万菱信价值优利混合型证券投资基金</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基金简称</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申万菱信价值优利混合</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004951</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基金运作方式</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契约型开放式</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基金合同生效日</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2017年9月21日</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基金管理人</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申万菱信基金管理有限公司</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基金托管人</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中国民生银行股份有限公司</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下属基金类别的基金简称</w:t>
            </w:r>
          </w:p>
        </w:tc>
        <w:tc>
          <w:tcPr>
            <w:tcW w:w="2739"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价值优利A</w:t>
            </w:r>
          </w:p>
        </w:tc>
        <w:tc>
          <w:tcPr>
            <w:tcW w:w="2740"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价值优利C</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下属基金类别的交易代码</w:t>
            </w:r>
          </w:p>
        </w:tc>
        <w:tc>
          <w:tcPr>
            <w:tcW w:w="2739"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004951</w:t>
            </w:r>
          </w:p>
        </w:tc>
        <w:tc>
          <w:tcPr>
            <w:tcW w:w="2740"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014584</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最后运作日（2022年</w:t>
            </w:r>
            <w:r>
              <w:rPr>
                <w:rFonts w:ascii="微软雅黑" w:eastAsia="微软雅黑" w:hAnsi="微软雅黑" w:cs="宋体"/>
                <w:color w:val="333333"/>
                <w:kern w:val="0"/>
                <w:sz w:val="24"/>
                <w:szCs w:val="24"/>
              </w:rPr>
              <w:t>11</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17</w:t>
            </w:r>
            <w:r>
              <w:rPr>
                <w:rFonts w:ascii="微软雅黑" w:eastAsia="微软雅黑" w:hAnsi="微软雅黑" w:cs="宋体" w:hint="eastAsia"/>
                <w:color w:val="333333"/>
                <w:kern w:val="0"/>
                <w:sz w:val="24"/>
                <w:szCs w:val="24"/>
              </w:rPr>
              <w:t>日）基金份额总额</w:t>
            </w:r>
          </w:p>
        </w:tc>
        <w:tc>
          <w:tcPr>
            <w:tcW w:w="2739"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450,459.68</w:t>
            </w:r>
            <w:r>
              <w:rPr>
                <w:rFonts w:ascii="微软雅黑" w:eastAsia="微软雅黑" w:hAnsi="微软雅黑" w:cs="宋体" w:hint="eastAsia"/>
                <w:color w:val="333333"/>
                <w:kern w:val="0"/>
                <w:sz w:val="24"/>
                <w:szCs w:val="24"/>
              </w:rPr>
              <w:t>份</w:t>
            </w:r>
          </w:p>
        </w:tc>
        <w:tc>
          <w:tcPr>
            <w:tcW w:w="2740"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9,917.62</w:t>
            </w:r>
            <w:r>
              <w:rPr>
                <w:rFonts w:ascii="微软雅黑" w:eastAsia="微软雅黑" w:hAnsi="微软雅黑" w:cs="宋体" w:hint="eastAsia"/>
                <w:color w:val="333333"/>
                <w:kern w:val="0"/>
                <w:sz w:val="24"/>
                <w:szCs w:val="24"/>
              </w:rPr>
              <w:t>份</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最后运作日（2022年</w:t>
            </w:r>
            <w:r>
              <w:rPr>
                <w:rFonts w:ascii="微软雅黑" w:eastAsia="微软雅黑" w:hAnsi="微软雅黑" w:cs="宋体"/>
                <w:color w:val="333333"/>
                <w:kern w:val="0"/>
                <w:sz w:val="24"/>
                <w:szCs w:val="24"/>
              </w:rPr>
              <w:t>11</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17</w:t>
            </w:r>
            <w:r>
              <w:rPr>
                <w:rFonts w:ascii="微软雅黑" w:eastAsia="微软雅黑" w:hAnsi="微软雅黑" w:cs="宋体" w:hint="eastAsia"/>
                <w:color w:val="333333"/>
                <w:kern w:val="0"/>
                <w:sz w:val="24"/>
                <w:szCs w:val="24"/>
              </w:rPr>
              <w:t>日）基金资产净值</w:t>
            </w:r>
          </w:p>
        </w:tc>
        <w:tc>
          <w:tcPr>
            <w:tcW w:w="2739"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firstLineChars="100" w:firstLine="240"/>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599,243.62</w:t>
            </w:r>
            <w:r>
              <w:rPr>
                <w:rFonts w:ascii="微软雅黑" w:eastAsia="微软雅黑" w:hAnsi="微软雅黑" w:cs="宋体" w:hint="eastAsia"/>
                <w:color w:val="333333"/>
                <w:kern w:val="0"/>
                <w:sz w:val="24"/>
                <w:szCs w:val="24"/>
              </w:rPr>
              <w:t>元</w:t>
            </w:r>
          </w:p>
        </w:tc>
        <w:tc>
          <w:tcPr>
            <w:tcW w:w="2740"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firstLineChars="100" w:firstLine="240"/>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13,119.72</w:t>
            </w:r>
            <w:r>
              <w:rPr>
                <w:rFonts w:ascii="微软雅黑" w:eastAsia="微软雅黑" w:hAnsi="微软雅黑" w:cs="宋体" w:hint="eastAsia"/>
                <w:color w:val="333333"/>
                <w:kern w:val="0"/>
                <w:sz w:val="24"/>
                <w:szCs w:val="24"/>
              </w:rPr>
              <w:t>元</w:t>
            </w:r>
          </w:p>
        </w:tc>
      </w:tr>
    </w:tbl>
    <w:p w:rsidR="00643AC9" w:rsidRDefault="000025B9">
      <w:pPr>
        <w:widowControl/>
        <w:shd w:val="clear" w:color="auto" w:fill="FFFFFF"/>
        <w:spacing w:before="540" w:line="42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2、基金产品说明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479"/>
      </w:tblGrid>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投资目标</w:t>
            </w:r>
          </w:p>
        </w:tc>
        <w:tc>
          <w:tcPr>
            <w:tcW w:w="5479"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本基金采用数量化的投资方法精选个股，严格按照纪律执行，力争获取长期稳定的超越业绩比较基准的投资回报。</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投资策略</w:t>
            </w:r>
          </w:p>
        </w:tc>
        <w:tc>
          <w:tcPr>
            <w:tcW w:w="5479"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基金采用数量化技术对投资策略进行优化，将特定的投资思想和理念通过具体指标与参数的设定体现在数量模型中，坚持以数量化的方式进行投资，充分发挥数量化投资的优势，保持投资策略的一致性与有效性。</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业绩比较基准</w:t>
            </w:r>
          </w:p>
        </w:tc>
        <w:tc>
          <w:tcPr>
            <w:tcW w:w="5479"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中证500指数收益率×75%+中证综合债指数收益率×25%</w:t>
            </w:r>
          </w:p>
        </w:tc>
      </w:tr>
      <w:tr w:rsidR="00643AC9">
        <w:tc>
          <w:tcPr>
            <w:tcW w:w="2835"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风险收益特征</w:t>
            </w:r>
          </w:p>
        </w:tc>
        <w:tc>
          <w:tcPr>
            <w:tcW w:w="5479" w:type="dxa"/>
            <w:tcBorders>
              <w:top w:val="single" w:sz="4" w:space="0" w:color="auto"/>
              <w:left w:val="single" w:sz="4" w:space="0" w:color="auto"/>
              <w:bottom w:val="single" w:sz="4" w:space="0" w:color="auto"/>
              <w:right w:val="single" w:sz="4" w:space="0" w:color="auto"/>
            </w:tcBorders>
            <w:vAlign w:val="center"/>
          </w:tcPr>
          <w:p w:rsidR="00643AC9" w:rsidRDefault="000025B9">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本基金是混合型基金，其预期收益及预期风险水平高于债券型基金与货币市场基金，低于股票型基金。</w:t>
            </w:r>
          </w:p>
        </w:tc>
      </w:tr>
    </w:tbl>
    <w:p w:rsidR="00643AC9" w:rsidRDefault="000025B9">
      <w:pPr>
        <w:widowControl/>
        <w:shd w:val="clear" w:color="auto" w:fill="FFFFFF"/>
        <w:spacing w:before="540" w:after="150"/>
        <w:ind w:firstLineChars="900" w:firstLine="2430"/>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三、 基金运作情况概述</w:t>
      </w:r>
    </w:p>
    <w:p w:rsidR="00643AC9" w:rsidRDefault="000025B9">
      <w:pPr>
        <w:widowControl/>
        <w:shd w:val="clear" w:color="auto" w:fill="FFFFFF"/>
        <w:spacing w:before="525"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申万菱信价值优利混合型证券投资基金（以下简称“本基金”），系经中国证监会证监许可【2017】848 号文《关于准予申万菱信价值优利混合型证券投资基金注册的批复》准予注册，由基金管理人申万菱信基金管理有限公司向社会公开发行募集，基金合同于20</w:t>
      </w:r>
      <w:r>
        <w:rPr>
          <w:rFonts w:ascii="微软雅黑" w:eastAsia="微软雅黑" w:hAnsi="微软雅黑" w:cs="宋体"/>
          <w:color w:val="333333"/>
          <w:kern w:val="0"/>
          <w:sz w:val="24"/>
          <w:szCs w:val="24"/>
        </w:rPr>
        <w:t>17</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9</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21</w:t>
      </w:r>
      <w:r>
        <w:rPr>
          <w:rFonts w:ascii="微软雅黑" w:eastAsia="微软雅黑" w:hAnsi="微软雅黑" w:cs="宋体" w:hint="eastAsia"/>
          <w:color w:val="333333"/>
          <w:kern w:val="0"/>
          <w:sz w:val="24"/>
          <w:szCs w:val="24"/>
        </w:rPr>
        <w:t>日正式生效，首次设立募集规模（含</w:t>
      </w:r>
      <w:r>
        <w:rPr>
          <w:rFonts w:ascii="微软雅黑" w:eastAsia="微软雅黑" w:hAnsi="微软雅黑" w:cs="宋体"/>
          <w:color w:val="333333"/>
          <w:kern w:val="0"/>
          <w:sz w:val="24"/>
          <w:szCs w:val="24"/>
        </w:rPr>
        <w:t>利息结转</w:t>
      </w:r>
      <w:r>
        <w:rPr>
          <w:rFonts w:ascii="微软雅黑" w:eastAsia="微软雅黑" w:hAnsi="微软雅黑" w:cs="宋体" w:hint="eastAsia"/>
          <w:color w:val="333333"/>
          <w:kern w:val="0"/>
          <w:sz w:val="24"/>
          <w:szCs w:val="24"/>
        </w:rPr>
        <w:t>份额）为</w:t>
      </w:r>
      <w:r>
        <w:rPr>
          <w:rFonts w:ascii="微软雅黑" w:eastAsia="微软雅黑" w:hAnsi="微软雅黑" w:cs="宋体"/>
          <w:color w:val="333333"/>
          <w:kern w:val="0"/>
          <w:sz w:val="24"/>
          <w:szCs w:val="24"/>
        </w:rPr>
        <w:t>225,886,769.96</w:t>
      </w:r>
      <w:r>
        <w:rPr>
          <w:rFonts w:ascii="微软雅黑" w:eastAsia="微软雅黑" w:hAnsi="微软雅黑" w:cs="宋体" w:hint="eastAsia"/>
          <w:color w:val="333333"/>
          <w:kern w:val="0"/>
          <w:sz w:val="24"/>
          <w:szCs w:val="24"/>
        </w:rPr>
        <w:t>份基金份额，有效认购户数为</w:t>
      </w:r>
      <w:r>
        <w:rPr>
          <w:rFonts w:ascii="微软雅黑" w:eastAsia="微软雅黑" w:hAnsi="微软雅黑" w:cs="宋体"/>
          <w:color w:val="333333"/>
          <w:kern w:val="0"/>
          <w:sz w:val="24"/>
          <w:szCs w:val="24"/>
        </w:rPr>
        <w:t>613</w:t>
      </w:r>
      <w:r>
        <w:rPr>
          <w:rFonts w:ascii="微软雅黑" w:eastAsia="微软雅黑" w:hAnsi="微软雅黑" w:cs="宋体" w:hint="eastAsia"/>
          <w:color w:val="333333"/>
          <w:kern w:val="0"/>
          <w:sz w:val="24"/>
          <w:szCs w:val="24"/>
        </w:rPr>
        <w:t>户。</w:t>
      </w:r>
    </w:p>
    <w:p w:rsidR="00643AC9" w:rsidRDefault="000025B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根据《申万菱信价值优利混合型证券投资基金基金合同》以及《申万菱信基金管理有限公司关于申万菱信价值优利混合型证券投资基金基金合同终止及基金财产清算的公告》，自2022年</w:t>
      </w:r>
      <w:r>
        <w:rPr>
          <w:rFonts w:ascii="微软雅黑" w:eastAsia="微软雅黑" w:hAnsi="微软雅黑" w:cs="宋体"/>
          <w:color w:val="333333"/>
          <w:kern w:val="0"/>
          <w:sz w:val="24"/>
          <w:szCs w:val="24"/>
        </w:rPr>
        <w:t>11</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18</w:t>
      </w:r>
      <w:r>
        <w:rPr>
          <w:rFonts w:ascii="微软雅黑" w:eastAsia="微软雅黑" w:hAnsi="微软雅黑" w:cs="宋体" w:hint="eastAsia"/>
          <w:color w:val="333333"/>
          <w:kern w:val="0"/>
          <w:sz w:val="24"/>
          <w:szCs w:val="24"/>
        </w:rPr>
        <w:t>日起，本基金进入清算程序，不再办理申购、赎回、转换及定期定额投资等业务。</w:t>
      </w:r>
    </w:p>
    <w:p w:rsidR="00643AC9" w:rsidRDefault="000025B9">
      <w:pPr>
        <w:widowControl/>
        <w:shd w:val="clear" w:color="auto" w:fill="FFFFFF"/>
        <w:spacing w:before="540" w:after="150"/>
        <w:jc w:val="center"/>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四、 财务会计报告</w:t>
      </w:r>
    </w:p>
    <w:p w:rsidR="00643AC9" w:rsidRDefault="000025B9">
      <w:pPr>
        <w:autoSpaceDE w:val="0"/>
        <w:autoSpaceDN w:val="0"/>
        <w:adjustRightInd w:val="0"/>
        <w:spacing w:line="360" w:lineRule="auto"/>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资产负债表（已经审计）</w:t>
      </w:r>
    </w:p>
    <w:p w:rsidR="00643AC9" w:rsidRDefault="000025B9">
      <w:pPr>
        <w:autoSpaceDE w:val="0"/>
        <w:autoSpaceDN w:val="0"/>
        <w:adjustRightInd w:val="0"/>
        <w:spacing w:line="360" w:lineRule="auto"/>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会计主体：申万菱信价值优利混合型证券投资基金</w:t>
      </w:r>
    </w:p>
    <w:p w:rsidR="00643AC9" w:rsidRDefault="000025B9">
      <w:pPr>
        <w:autoSpaceDE w:val="0"/>
        <w:autoSpaceDN w:val="0"/>
        <w:adjustRightInd w:val="0"/>
        <w:spacing w:line="360" w:lineRule="auto"/>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报告截止日：2022年</w:t>
      </w:r>
      <w:r>
        <w:rPr>
          <w:rFonts w:ascii="微软雅黑" w:eastAsia="微软雅黑" w:hAnsi="微软雅黑" w:cs="宋体"/>
          <w:color w:val="333333"/>
          <w:kern w:val="0"/>
          <w:sz w:val="24"/>
          <w:szCs w:val="24"/>
        </w:rPr>
        <w:t>11</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17</w:t>
      </w:r>
      <w:r>
        <w:rPr>
          <w:rFonts w:ascii="微软雅黑" w:eastAsia="微软雅黑" w:hAnsi="微软雅黑" w:cs="宋体" w:hint="eastAsia"/>
          <w:color w:val="333333"/>
          <w:kern w:val="0"/>
          <w:sz w:val="24"/>
          <w:szCs w:val="24"/>
        </w:rPr>
        <w:t>日(最后运作日)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8"/>
        <w:gridCol w:w="4150"/>
      </w:tblGrid>
      <w:tr w:rsidR="00643AC9">
        <w:trPr>
          <w:jc w:val="center"/>
        </w:trPr>
        <w:tc>
          <w:tcPr>
            <w:tcW w:w="4188" w:type="dxa"/>
            <w:shd w:val="clear" w:color="auto" w:fill="auto"/>
          </w:tcPr>
          <w:p w:rsidR="00643AC9" w:rsidRDefault="000025B9">
            <w:pPr>
              <w:pStyle w:val="a5"/>
              <w:spacing w:before="0" w:beforeAutospacing="0" w:after="0" w:afterAutospacing="0"/>
              <w:jc w:val="center"/>
              <w:rPr>
                <w:rFonts w:ascii="微软雅黑" w:eastAsia="微软雅黑" w:hAnsi="微软雅黑" w:cs="Arial"/>
                <w:b/>
              </w:rPr>
            </w:pPr>
            <w:r>
              <w:rPr>
                <w:rFonts w:ascii="微软雅黑" w:eastAsia="微软雅黑" w:hAnsi="微软雅黑" w:cs="Arial" w:hint="eastAsia"/>
                <w:b/>
              </w:rPr>
              <w:t>资产</w:t>
            </w:r>
          </w:p>
        </w:tc>
        <w:tc>
          <w:tcPr>
            <w:tcW w:w="4150" w:type="dxa"/>
            <w:shd w:val="clear" w:color="auto" w:fill="auto"/>
          </w:tcPr>
          <w:p w:rsidR="00643AC9" w:rsidRDefault="000025B9">
            <w:pPr>
              <w:pStyle w:val="a5"/>
              <w:spacing w:before="0" w:beforeAutospacing="0" w:after="0" w:afterAutospacing="0"/>
              <w:jc w:val="center"/>
              <w:rPr>
                <w:rFonts w:ascii="微软雅黑" w:eastAsia="微软雅黑" w:hAnsi="微软雅黑" w:cs="Arial"/>
                <w:b/>
              </w:rPr>
            </w:pPr>
            <w:r>
              <w:rPr>
                <w:rFonts w:ascii="微软雅黑" w:eastAsia="微软雅黑" w:hAnsi="微软雅黑" w:cs="Arial" w:hint="eastAsia"/>
                <w:b/>
              </w:rPr>
              <w:t>本期末</w:t>
            </w:r>
          </w:p>
          <w:p w:rsidR="00643AC9" w:rsidRDefault="000025B9">
            <w:pPr>
              <w:pStyle w:val="a5"/>
              <w:spacing w:before="0" w:beforeAutospacing="0" w:after="0" w:afterAutospacing="0"/>
              <w:ind w:left="-110" w:right="-84"/>
              <w:jc w:val="center"/>
              <w:rPr>
                <w:rFonts w:ascii="微软雅黑" w:eastAsia="微软雅黑" w:hAnsi="微软雅黑" w:cs="Arial"/>
                <w:b/>
              </w:rPr>
            </w:pPr>
            <w:r>
              <w:rPr>
                <w:rFonts w:ascii="微软雅黑" w:eastAsia="微软雅黑" w:hAnsi="微软雅黑" w:cs="Arial" w:hint="eastAsia"/>
                <w:b/>
              </w:rPr>
              <w:t>2022年</w:t>
            </w:r>
            <w:r>
              <w:rPr>
                <w:rFonts w:ascii="微软雅黑" w:eastAsia="微软雅黑" w:hAnsi="微软雅黑" w:cs="Arial"/>
                <w:b/>
              </w:rPr>
              <w:t>11</w:t>
            </w:r>
            <w:r>
              <w:rPr>
                <w:rFonts w:ascii="微软雅黑" w:eastAsia="微软雅黑" w:hAnsi="微软雅黑" w:cs="Arial" w:hint="eastAsia"/>
                <w:b/>
              </w:rPr>
              <w:t>月</w:t>
            </w:r>
            <w:r>
              <w:rPr>
                <w:rFonts w:ascii="微软雅黑" w:eastAsia="微软雅黑" w:hAnsi="微软雅黑" w:cs="Arial"/>
                <w:b/>
              </w:rPr>
              <w:t>17</w:t>
            </w:r>
            <w:r>
              <w:rPr>
                <w:rFonts w:ascii="微软雅黑" w:eastAsia="微软雅黑" w:hAnsi="微软雅黑" w:cs="Arial" w:hint="eastAsia"/>
                <w:b/>
              </w:rPr>
              <w:t>日</w:t>
            </w:r>
          </w:p>
          <w:p w:rsidR="00643AC9" w:rsidRDefault="000025B9">
            <w:pPr>
              <w:pStyle w:val="a5"/>
              <w:spacing w:before="0" w:beforeAutospacing="0" w:after="0" w:afterAutospacing="0"/>
              <w:ind w:left="-110" w:right="-84"/>
              <w:jc w:val="center"/>
              <w:rPr>
                <w:rFonts w:ascii="微软雅黑" w:eastAsia="微软雅黑" w:hAnsi="微软雅黑" w:cs="Arial"/>
                <w:b/>
              </w:rPr>
            </w:pPr>
            <w:r>
              <w:rPr>
                <w:rFonts w:ascii="微软雅黑" w:eastAsia="微软雅黑" w:hAnsi="微软雅黑" w:cs="Arial"/>
                <w:b/>
              </w:rPr>
              <w:t>(</w:t>
            </w:r>
            <w:r>
              <w:rPr>
                <w:rFonts w:ascii="微软雅黑" w:eastAsia="微软雅黑" w:hAnsi="微软雅黑" w:cs="Arial" w:hint="eastAsia"/>
                <w:b/>
              </w:rPr>
              <w:t>最后运作日</w:t>
            </w:r>
            <w:r>
              <w:rPr>
                <w:rFonts w:ascii="微软雅黑" w:eastAsia="微软雅黑" w:hAnsi="微软雅黑" w:cs="Arial"/>
                <w:b/>
              </w:rPr>
              <w:t>)</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b/>
              </w:rPr>
            </w:pPr>
            <w:r>
              <w:rPr>
                <w:rFonts w:ascii="微软雅黑" w:eastAsia="微软雅黑" w:hAnsi="微软雅黑" w:cs="Arial" w:hint="eastAsia"/>
                <w:b/>
              </w:rPr>
              <w:t>资产：</w:t>
            </w:r>
          </w:p>
        </w:tc>
        <w:tc>
          <w:tcPr>
            <w:tcW w:w="4150" w:type="dxa"/>
            <w:shd w:val="clear" w:color="auto" w:fill="auto"/>
          </w:tcPr>
          <w:p w:rsidR="00643AC9" w:rsidRDefault="00643AC9">
            <w:pPr>
              <w:pStyle w:val="a5"/>
              <w:spacing w:before="0" w:beforeAutospacing="0" w:after="0" w:afterAutospacing="0"/>
              <w:rPr>
                <w:rFonts w:ascii="微软雅黑" w:eastAsia="微软雅黑" w:hAnsi="微软雅黑" w:cs="Arial"/>
              </w:rPr>
            </w:pPr>
          </w:p>
        </w:tc>
      </w:tr>
      <w:tr w:rsidR="00643AC9">
        <w:trPr>
          <w:trHeight w:val="219"/>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rPr>
            </w:pPr>
            <w:r>
              <w:rPr>
                <w:rFonts w:ascii="微软雅黑" w:eastAsia="微软雅黑" w:hAnsi="微软雅黑" w:cs="Arial" w:hint="eastAsia"/>
              </w:rPr>
              <w:t>银行存款</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421,700.35</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rPr>
            </w:pPr>
            <w:r>
              <w:rPr>
                <w:rFonts w:ascii="微软雅黑" w:eastAsia="微软雅黑" w:hAnsi="微软雅黑" w:cs="Arial" w:hint="eastAsia"/>
              </w:rPr>
              <w:t>结算备付金</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1,104.22</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rPr>
            </w:pPr>
            <w:r>
              <w:rPr>
                <w:rFonts w:ascii="微软雅黑" w:eastAsia="微软雅黑" w:hAnsi="微软雅黑" w:cs="Arial" w:hint="eastAsia"/>
              </w:rPr>
              <w:t>存出保证金</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 xml:space="preserve">   30,397.39</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rPr>
            </w:pPr>
            <w:r>
              <w:rPr>
                <w:rFonts w:ascii="微软雅黑" w:eastAsia="微软雅黑" w:hAnsi="微软雅黑" w:cs="Arial" w:hint="eastAsia"/>
              </w:rPr>
              <w:t>交易性金融资产</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418,941.24</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rPr>
            </w:pPr>
            <w:r>
              <w:rPr>
                <w:rFonts w:ascii="微软雅黑" w:eastAsia="微软雅黑" w:hAnsi="微软雅黑" w:cs="Arial" w:hint="eastAsia"/>
              </w:rPr>
              <w:t>其中：股票投资</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418,941.24</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b/>
              </w:rPr>
            </w:pPr>
            <w:r>
              <w:rPr>
                <w:rFonts w:ascii="微软雅黑" w:eastAsia="微软雅黑" w:hAnsi="微软雅黑" w:cs="Arial" w:hint="eastAsia"/>
                <w:b/>
              </w:rPr>
              <w:t>资产总计</w:t>
            </w:r>
          </w:p>
        </w:tc>
        <w:tc>
          <w:tcPr>
            <w:tcW w:w="4150" w:type="dxa"/>
            <w:shd w:val="clear" w:color="auto" w:fill="auto"/>
            <w:vAlign w:val="bottom"/>
          </w:tcPr>
          <w:p w:rsidR="00643AC9" w:rsidRDefault="000025B9">
            <w:pPr>
              <w:ind w:left="-108" w:right="57"/>
              <w:jc w:val="right"/>
              <w:rPr>
                <w:rFonts w:ascii="微软雅黑" w:eastAsia="微软雅黑" w:hAnsi="微软雅黑"/>
                <w:b/>
                <w:color w:val="000000"/>
                <w:sz w:val="24"/>
                <w:szCs w:val="24"/>
              </w:rPr>
            </w:pPr>
            <w:r>
              <w:rPr>
                <w:rFonts w:ascii="微软雅黑" w:eastAsia="微软雅黑" w:hAnsi="微软雅黑"/>
                <w:b/>
                <w:color w:val="000000"/>
                <w:sz w:val="24"/>
                <w:szCs w:val="24"/>
              </w:rPr>
              <w:t>872,143.2</w:t>
            </w:r>
            <w:r>
              <w:rPr>
                <w:rFonts w:ascii="微软雅黑" w:eastAsia="微软雅黑" w:hAnsi="微软雅黑" w:hint="eastAsia"/>
                <w:b/>
                <w:color w:val="000000"/>
                <w:sz w:val="24"/>
                <w:szCs w:val="24"/>
              </w:rPr>
              <w:t>0</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jc w:val="center"/>
              <w:rPr>
                <w:rFonts w:ascii="微软雅黑" w:eastAsia="微软雅黑" w:hAnsi="微软雅黑" w:cs="Arial"/>
                <w:b/>
              </w:rPr>
            </w:pPr>
            <w:r>
              <w:rPr>
                <w:rFonts w:ascii="微软雅黑" w:eastAsia="微软雅黑" w:hAnsi="微软雅黑" w:cs="Arial" w:hint="eastAsia"/>
                <w:b/>
              </w:rPr>
              <w:t>负债和净资产</w:t>
            </w:r>
          </w:p>
        </w:tc>
        <w:tc>
          <w:tcPr>
            <w:tcW w:w="4150" w:type="dxa"/>
            <w:shd w:val="clear" w:color="auto" w:fill="auto"/>
            <w:vAlign w:val="bottom"/>
          </w:tcPr>
          <w:p w:rsidR="00643AC9" w:rsidRDefault="00643AC9">
            <w:pPr>
              <w:ind w:left="-108" w:right="57"/>
              <w:jc w:val="right"/>
              <w:rPr>
                <w:rFonts w:ascii="微软雅黑" w:eastAsia="微软雅黑" w:hAnsi="微软雅黑"/>
                <w:color w:val="000000"/>
                <w:sz w:val="24"/>
                <w:szCs w:val="24"/>
              </w:rPr>
            </w:pP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b/>
              </w:rPr>
            </w:pPr>
            <w:r>
              <w:rPr>
                <w:rFonts w:ascii="微软雅黑" w:eastAsia="微软雅黑" w:hAnsi="微软雅黑" w:cs="Arial" w:hint="eastAsia"/>
                <w:b/>
              </w:rPr>
              <w:t>负债：</w:t>
            </w:r>
          </w:p>
        </w:tc>
        <w:tc>
          <w:tcPr>
            <w:tcW w:w="4150" w:type="dxa"/>
            <w:shd w:val="clear" w:color="auto" w:fill="auto"/>
            <w:vAlign w:val="bottom"/>
          </w:tcPr>
          <w:p w:rsidR="00643AC9" w:rsidRDefault="00643AC9">
            <w:pPr>
              <w:ind w:left="-108" w:right="57"/>
              <w:jc w:val="right"/>
              <w:rPr>
                <w:rFonts w:ascii="微软雅黑" w:eastAsia="微软雅黑" w:hAnsi="微软雅黑"/>
                <w:color w:val="000000"/>
                <w:sz w:val="24"/>
                <w:szCs w:val="24"/>
              </w:rPr>
            </w:pPr>
          </w:p>
        </w:tc>
      </w:tr>
      <w:tr w:rsidR="00643AC9">
        <w:trPr>
          <w:jc w:val="center"/>
        </w:trPr>
        <w:tc>
          <w:tcPr>
            <w:tcW w:w="4188" w:type="dxa"/>
            <w:shd w:val="clear" w:color="auto" w:fill="auto"/>
          </w:tcPr>
          <w:p w:rsidR="00643AC9" w:rsidRDefault="000025B9">
            <w:pPr>
              <w:pStyle w:val="a5"/>
              <w:spacing w:before="0" w:beforeAutospacing="0" w:after="0" w:afterAutospacing="0"/>
              <w:ind w:right="537"/>
              <w:rPr>
                <w:rFonts w:ascii="微软雅黑" w:eastAsia="微软雅黑" w:hAnsi="微软雅黑" w:cs="Arial"/>
              </w:rPr>
            </w:pPr>
            <w:r>
              <w:rPr>
                <w:rFonts w:hint="eastAsia"/>
              </w:rPr>
              <w:t>应付赎回款</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139,074.59</w:t>
            </w:r>
          </w:p>
        </w:tc>
      </w:tr>
      <w:tr w:rsidR="00643AC9">
        <w:trPr>
          <w:jc w:val="center"/>
        </w:trPr>
        <w:tc>
          <w:tcPr>
            <w:tcW w:w="4188" w:type="dxa"/>
            <w:shd w:val="clear" w:color="auto" w:fill="auto"/>
          </w:tcPr>
          <w:p w:rsidR="00643AC9" w:rsidRDefault="000025B9">
            <w:pPr>
              <w:pStyle w:val="a5"/>
              <w:spacing w:before="0" w:beforeAutospacing="0" w:after="0" w:afterAutospacing="0"/>
              <w:ind w:right="537"/>
              <w:rPr>
                <w:rFonts w:ascii="微软雅黑" w:eastAsia="微软雅黑" w:hAnsi="微软雅黑" w:cs="Arial"/>
              </w:rPr>
            </w:pPr>
            <w:r>
              <w:rPr>
                <w:rFonts w:hint="eastAsia"/>
              </w:rPr>
              <w:t>应付管理人报酬</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416.31</w:t>
            </w:r>
          </w:p>
        </w:tc>
      </w:tr>
      <w:tr w:rsidR="00643AC9">
        <w:trPr>
          <w:jc w:val="center"/>
        </w:trPr>
        <w:tc>
          <w:tcPr>
            <w:tcW w:w="4188" w:type="dxa"/>
            <w:shd w:val="clear" w:color="auto" w:fill="auto"/>
          </w:tcPr>
          <w:p w:rsidR="00643AC9" w:rsidRDefault="000025B9">
            <w:pPr>
              <w:pStyle w:val="a5"/>
              <w:spacing w:before="0" w:beforeAutospacing="0" w:after="0" w:afterAutospacing="0"/>
              <w:ind w:right="537"/>
              <w:rPr>
                <w:rFonts w:ascii="微软雅黑" w:eastAsia="微软雅黑" w:hAnsi="微软雅黑" w:cs="Arial"/>
              </w:rPr>
            </w:pPr>
            <w:r>
              <w:rPr>
                <w:rFonts w:hint="eastAsia"/>
              </w:rPr>
              <w:t>应付托管费</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34.68</w:t>
            </w:r>
          </w:p>
        </w:tc>
      </w:tr>
      <w:tr w:rsidR="00643AC9">
        <w:trPr>
          <w:jc w:val="center"/>
        </w:trPr>
        <w:tc>
          <w:tcPr>
            <w:tcW w:w="4188" w:type="dxa"/>
            <w:shd w:val="clear" w:color="auto" w:fill="auto"/>
          </w:tcPr>
          <w:p w:rsidR="00643AC9" w:rsidRDefault="000025B9">
            <w:pPr>
              <w:pStyle w:val="a5"/>
              <w:spacing w:before="0" w:beforeAutospacing="0" w:after="0" w:afterAutospacing="0"/>
              <w:ind w:right="537"/>
              <w:rPr>
                <w:rFonts w:ascii="微软雅黑" w:eastAsia="微软雅黑" w:hAnsi="微软雅黑" w:cs="Arial"/>
              </w:rPr>
            </w:pPr>
            <w:r>
              <w:rPr>
                <w:rFonts w:hint="eastAsia"/>
              </w:rPr>
              <w:t>应付销售服务费</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3.36</w:t>
            </w:r>
          </w:p>
        </w:tc>
      </w:tr>
      <w:tr w:rsidR="00643AC9">
        <w:trPr>
          <w:jc w:val="center"/>
        </w:trPr>
        <w:tc>
          <w:tcPr>
            <w:tcW w:w="4188" w:type="dxa"/>
            <w:shd w:val="clear" w:color="auto" w:fill="auto"/>
          </w:tcPr>
          <w:p w:rsidR="00643AC9" w:rsidRDefault="000025B9">
            <w:pPr>
              <w:pStyle w:val="a5"/>
              <w:spacing w:before="0" w:beforeAutospacing="0" w:after="0" w:afterAutospacing="0"/>
              <w:ind w:right="537"/>
              <w:rPr>
                <w:rFonts w:ascii="微软雅黑" w:eastAsia="微软雅黑" w:hAnsi="微软雅黑" w:cs="Arial"/>
              </w:rPr>
            </w:pPr>
            <w:r>
              <w:rPr>
                <w:rFonts w:eastAsiaTheme="minorEastAsia" w:hint="eastAsia"/>
                <w:color w:val="000000" w:themeColor="text1"/>
                <w:szCs w:val="21"/>
              </w:rPr>
              <w:t>应付证券清算款</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79.39</w:t>
            </w:r>
          </w:p>
        </w:tc>
      </w:tr>
      <w:tr w:rsidR="00643AC9">
        <w:trPr>
          <w:jc w:val="center"/>
        </w:trPr>
        <w:tc>
          <w:tcPr>
            <w:tcW w:w="4188" w:type="dxa"/>
            <w:shd w:val="clear" w:color="auto" w:fill="auto"/>
          </w:tcPr>
          <w:p w:rsidR="00643AC9" w:rsidRDefault="000025B9">
            <w:pPr>
              <w:pStyle w:val="a5"/>
              <w:spacing w:before="0" w:beforeAutospacing="0" w:after="0" w:afterAutospacing="0"/>
              <w:ind w:right="537"/>
              <w:rPr>
                <w:rFonts w:ascii="微软雅黑" w:eastAsia="微软雅黑" w:hAnsi="微软雅黑" w:cs="Arial"/>
              </w:rPr>
            </w:pPr>
            <w:r>
              <w:rPr>
                <w:rFonts w:hint="eastAsia"/>
              </w:rPr>
              <w:t>其他负债</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120,171.53</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b/>
              </w:rPr>
            </w:pPr>
            <w:r>
              <w:rPr>
                <w:rFonts w:ascii="微软雅黑" w:eastAsia="微软雅黑" w:hAnsi="微软雅黑" w:cs="Arial" w:hint="eastAsia"/>
                <w:b/>
              </w:rPr>
              <w:t>负债合计</w:t>
            </w:r>
          </w:p>
        </w:tc>
        <w:tc>
          <w:tcPr>
            <w:tcW w:w="4150" w:type="dxa"/>
            <w:shd w:val="clear" w:color="auto" w:fill="auto"/>
            <w:vAlign w:val="bottom"/>
          </w:tcPr>
          <w:p w:rsidR="00643AC9" w:rsidRDefault="000025B9">
            <w:pPr>
              <w:ind w:left="-108" w:right="57"/>
              <w:jc w:val="right"/>
              <w:rPr>
                <w:rFonts w:ascii="微软雅黑" w:eastAsia="微软雅黑" w:hAnsi="微软雅黑"/>
                <w:b/>
                <w:color w:val="000000"/>
                <w:sz w:val="24"/>
                <w:szCs w:val="24"/>
              </w:rPr>
            </w:pPr>
            <w:r>
              <w:rPr>
                <w:rFonts w:ascii="微软雅黑" w:eastAsia="微软雅黑" w:hAnsi="微软雅黑"/>
                <w:b/>
                <w:color w:val="000000"/>
                <w:sz w:val="24"/>
                <w:szCs w:val="24"/>
              </w:rPr>
              <w:t xml:space="preserve">259,779.86   </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b/>
              </w:rPr>
            </w:pPr>
            <w:r>
              <w:rPr>
                <w:rFonts w:ascii="微软雅黑" w:eastAsia="微软雅黑" w:hAnsi="微软雅黑" w:cs="Arial" w:hint="eastAsia"/>
                <w:b/>
              </w:rPr>
              <w:t>净资产：</w:t>
            </w:r>
          </w:p>
        </w:tc>
        <w:tc>
          <w:tcPr>
            <w:tcW w:w="4150" w:type="dxa"/>
            <w:shd w:val="clear" w:color="auto" w:fill="auto"/>
            <w:vAlign w:val="bottom"/>
          </w:tcPr>
          <w:p w:rsidR="00643AC9" w:rsidRDefault="00643AC9">
            <w:pPr>
              <w:ind w:left="-108" w:right="57"/>
              <w:jc w:val="right"/>
              <w:rPr>
                <w:rFonts w:ascii="微软雅黑" w:eastAsia="微软雅黑" w:hAnsi="微软雅黑"/>
                <w:color w:val="000000"/>
                <w:sz w:val="24"/>
                <w:szCs w:val="24"/>
              </w:rPr>
            </w:pPr>
          </w:p>
        </w:tc>
      </w:tr>
      <w:tr w:rsidR="00643AC9">
        <w:trPr>
          <w:jc w:val="center"/>
        </w:trPr>
        <w:tc>
          <w:tcPr>
            <w:tcW w:w="4188" w:type="dxa"/>
            <w:shd w:val="clear" w:color="auto" w:fill="auto"/>
          </w:tcPr>
          <w:p w:rsidR="00643AC9" w:rsidRDefault="000025B9">
            <w:pPr>
              <w:pStyle w:val="a5"/>
              <w:spacing w:before="0" w:beforeAutospacing="0" w:after="0" w:afterAutospacing="0"/>
              <w:rPr>
                <w:rFonts w:ascii="微软雅黑" w:eastAsia="微软雅黑" w:hAnsi="微软雅黑" w:cs="Arial"/>
                <w:b/>
              </w:rPr>
            </w:pPr>
            <w:r>
              <w:rPr>
                <w:rFonts w:hint="eastAsia"/>
              </w:rPr>
              <w:t>实收基金</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460,377.30</w:t>
            </w:r>
          </w:p>
        </w:tc>
      </w:tr>
      <w:tr w:rsidR="00643AC9">
        <w:trPr>
          <w:jc w:val="center"/>
        </w:trPr>
        <w:tc>
          <w:tcPr>
            <w:tcW w:w="4188" w:type="dxa"/>
            <w:shd w:val="clear" w:color="auto" w:fill="auto"/>
          </w:tcPr>
          <w:p w:rsidR="00643AC9" w:rsidRDefault="000025B9">
            <w:pPr>
              <w:pStyle w:val="a5"/>
              <w:spacing w:before="0" w:beforeAutospacing="0" w:after="0" w:afterAutospacing="0"/>
              <w:rPr>
                <w:rFonts w:ascii="微软雅黑" w:eastAsia="微软雅黑" w:hAnsi="微软雅黑" w:cs="Arial"/>
              </w:rPr>
            </w:pPr>
            <w:r>
              <w:rPr>
                <w:rFonts w:hint="eastAsia"/>
              </w:rPr>
              <w:t>未分配利润</w:t>
            </w:r>
          </w:p>
        </w:tc>
        <w:tc>
          <w:tcPr>
            <w:tcW w:w="4150" w:type="dxa"/>
            <w:shd w:val="clear" w:color="auto" w:fill="auto"/>
            <w:vAlign w:val="bottom"/>
          </w:tcPr>
          <w:p w:rsidR="00643AC9" w:rsidRDefault="000025B9">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151,986.04</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b/>
              </w:rPr>
            </w:pPr>
            <w:r>
              <w:rPr>
                <w:rFonts w:ascii="微软雅黑" w:eastAsia="微软雅黑" w:hAnsi="微软雅黑" w:cs="Arial" w:hint="eastAsia"/>
                <w:b/>
              </w:rPr>
              <w:t>净资产合计</w:t>
            </w:r>
          </w:p>
        </w:tc>
        <w:tc>
          <w:tcPr>
            <w:tcW w:w="4150" w:type="dxa"/>
            <w:shd w:val="clear" w:color="auto" w:fill="auto"/>
            <w:vAlign w:val="bottom"/>
          </w:tcPr>
          <w:p w:rsidR="00643AC9" w:rsidRDefault="000025B9">
            <w:pPr>
              <w:ind w:left="-108" w:right="57"/>
              <w:jc w:val="right"/>
              <w:rPr>
                <w:rFonts w:ascii="微软雅黑" w:eastAsia="微软雅黑" w:hAnsi="微软雅黑"/>
                <w:b/>
                <w:color w:val="000000"/>
                <w:sz w:val="24"/>
                <w:szCs w:val="24"/>
              </w:rPr>
            </w:pPr>
            <w:r>
              <w:rPr>
                <w:rFonts w:ascii="微软雅黑" w:eastAsia="微软雅黑" w:hAnsi="微软雅黑"/>
                <w:b/>
                <w:color w:val="000000"/>
                <w:sz w:val="24"/>
                <w:szCs w:val="24"/>
              </w:rPr>
              <w:t>612,363.34</w:t>
            </w:r>
          </w:p>
        </w:tc>
      </w:tr>
      <w:tr w:rsidR="00643AC9">
        <w:trPr>
          <w:jc w:val="center"/>
        </w:trPr>
        <w:tc>
          <w:tcPr>
            <w:tcW w:w="4188" w:type="dxa"/>
            <w:shd w:val="clear" w:color="auto" w:fill="auto"/>
            <w:vAlign w:val="bottom"/>
          </w:tcPr>
          <w:p w:rsidR="00643AC9" w:rsidRDefault="000025B9">
            <w:pPr>
              <w:pStyle w:val="a5"/>
              <w:spacing w:before="0" w:beforeAutospacing="0" w:after="0" w:afterAutospacing="0"/>
              <w:rPr>
                <w:rFonts w:ascii="微软雅黑" w:eastAsia="微软雅黑" w:hAnsi="微软雅黑" w:cs="Arial"/>
                <w:b/>
              </w:rPr>
            </w:pPr>
            <w:r>
              <w:rPr>
                <w:rFonts w:ascii="微软雅黑" w:eastAsia="微软雅黑" w:hAnsi="微软雅黑" w:cs="Arial" w:hint="eastAsia"/>
                <w:b/>
              </w:rPr>
              <w:t>负债和净资产总计</w:t>
            </w:r>
          </w:p>
        </w:tc>
        <w:tc>
          <w:tcPr>
            <w:tcW w:w="4150" w:type="dxa"/>
            <w:shd w:val="clear" w:color="auto" w:fill="auto"/>
            <w:vAlign w:val="bottom"/>
          </w:tcPr>
          <w:p w:rsidR="00643AC9" w:rsidRDefault="000025B9">
            <w:pPr>
              <w:ind w:left="-108" w:right="57"/>
              <w:jc w:val="right"/>
              <w:rPr>
                <w:rFonts w:ascii="微软雅黑" w:eastAsia="微软雅黑" w:hAnsi="微软雅黑"/>
                <w:b/>
                <w:color w:val="000000"/>
                <w:sz w:val="24"/>
                <w:szCs w:val="24"/>
              </w:rPr>
            </w:pPr>
            <w:r>
              <w:rPr>
                <w:rFonts w:ascii="微软雅黑" w:eastAsia="微软雅黑" w:hAnsi="微软雅黑"/>
                <w:b/>
                <w:color w:val="000000"/>
                <w:sz w:val="24"/>
                <w:szCs w:val="24"/>
              </w:rPr>
              <w:t>872,143.2</w:t>
            </w:r>
            <w:r>
              <w:rPr>
                <w:rFonts w:ascii="微软雅黑" w:eastAsia="微软雅黑" w:hAnsi="微软雅黑" w:hint="eastAsia"/>
                <w:b/>
                <w:color w:val="000000"/>
                <w:sz w:val="24"/>
                <w:szCs w:val="24"/>
              </w:rPr>
              <w:t>0</w:t>
            </w:r>
            <w:r>
              <w:rPr>
                <w:rFonts w:ascii="微软雅黑" w:eastAsia="微软雅黑" w:hAnsi="微软雅黑"/>
                <w:b/>
                <w:color w:val="000000"/>
                <w:sz w:val="24"/>
                <w:szCs w:val="24"/>
              </w:rPr>
              <w:t xml:space="preserve">  </w:t>
            </w:r>
          </w:p>
        </w:tc>
      </w:tr>
    </w:tbl>
    <w:p w:rsidR="00643AC9" w:rsidRDefault="000025B9">
      <w:pPr>
        <w:spacing w:line="360" w:lineRule="auto"/>
        <w:jc w:val="left"/>
        <w:rPr>
          <w:rFonts w:ascii="微软雅黑" w:eastAsia="微软雅黑" w:hAnsi="微软雅黑"/>
          <w:sz w:val="24"/>
          <w:szCs w:val="24"/>
        </w:rPr>
      </w:pPr>
      <w:r>
        <w:rPr>
          <w:rFonts w:ascii="微软雅黑" w:eastAsia="微软雅黑" w:hAnsi="微软雅黑" w:hint="eastAsia"/>
          <w:bCs/>
          <w:sz w:val="24"/>
          <w:szCs w:val="24"/>
        </w:rPr>
        <w:t>注：</w:t>
      </w:r>
      <w:r>
        <w:rPr>
          <w:rFonts w:ascii="微软雅黑" w:eastAsia="微软雅黑" w:hAnsi="微软雅黑"/>
          <w:bCs/>
          <w:sz w:val="24"/>
          <w:szCs w:val="24"/>
        </w:rPr>
        <w:t>1</w:t>
      </w:r>
      <w:r>
        <w:rPr>
          <w:rFonts w:ascii="微软雅黑" w:eastAsia="微软雅黑" w:hAnsi="微软雅黑" w:hint="eastAsia"/>
          <w:bCs/>
          <w:sz w:val="24"/>
          <w:szCs w:val="24"/>
        </w:rPr>
        <w:t>、报告截止日2022年</w:t>
      </w:r>
      <w:r>
        <w:rPr>
          <w:rFonts w:ascii="微软雅黑" w:eastAsia="微软雅黑" w:hAnsi="微软雅黑"/>
          <w:bCs/>
          <w:sz w:val="24"/>
          <w:szCs w:val="24"/>
        </w:rPr>
        <w:t>11</w:t>
      </w:r>
      <w:r>
        <w:rPr>
          <w:rFonts w:ascii="微软雅黑" w:eastAsia="微软雅黑" w:hAnsi="微软雅黑" w:hint="eastAsia"/>
          <w:bCs/>
          <w:sz w:val="24"/>
          <w:szCs w:val="24"/>
        </w:rPr>
        <w:t>月</w:t>
      </w:r>
      <w:r>
        <w:rPr>
          <w:rFonts w:ascii="微软雅黑" w:eastAsia="微软雅黑" w:hAnsi="微软雅黑"/>
          <w:bCs/>
          <w:sz w:val="24"/>
          <w:szCs w:val="24"/>
        </w:rPr>
        <w:t>17</w:t>
      </w:r>
      <w:r>
        <w:rPr>
          <w:rFonts w:ascii="微软雅黑" w:eastAsia="微软雅黑" w:hAnsi="微软雅黑" w:hint="eastAsia"/>
          <w:bCs/>
          <w:sz w:val="24"/>
          <w:szCs w:val="24"/>
        </w:rPr>
        <w:t>日</w:t>
      </w:r>
      <w:r>
        <w:rPr>
          <w:rFonts w:ascii="微软雅黑" w:eastAsia="微软雅黑" w:hAnsi="微软雅黑"/>
          <w:bCs/>
          <w:sz w:val="24"/>
          <w:szCs w:val="24"/>
        </w:rPr>
        <w:t>(</w:t>
      </w:r>
      <w:r>
        <w:rPr>
          <w:rFonts w:ascii="微软雅黑" w:eastAsia="微软雅黑" w:hAnsi="微软雅黑" w:hint="eastAsia"/>
          <w:bCs/>
          <w:sz w:val="24"/>
          <w:szCs w:val="24"/>
        </w:rPr>
        <w:t>最后运作日</w:t>
      </w:r>
      <w:r>
        <w:rPr>
          <w:rFonts w:ascii="微软雅黑" w:eastAsia="微软雅黑" w:hAnsi="微软雅黑"/>
          <w:bCs/>
          <w:sz w:val="24"/>
          <w:szCs w:val="24"/>
        </w:rPr>
        <w:t>)，</w:t>
      </w:r>
      <w:r>
        <w:rPr>
          <w:rFonts w:ascii="微软雅黑" w:eastAsia="微软雅黑" w:hAnsi="微软雅黑" w:hint="eastAsia"/>
          <w:sz w:val="24"/>
          <w:szCs w:val="24"/>
        </w:rPr>
        <w:t>A类基金</w:t>
      </w:r>
      <w:r w:rsidR="007D1115">
        <w:rPr>
          <w:rFonts w:ascii="微软雅黑" w:eastAsia="微软雅黑" w:hAnsi="微软雅黑" w:hint="eastAsia"/>
          <w:sz w:val="24"/>
          <w:szCs w:val="24"/>
        </w:rPr>
        <w:t>资产</w:t>
      </w:r>
      <w:r>
        <w:rPr>
          <w:rFonts w:ascii="微软雅黑" w:eastAsia="微软雅黑" w:hAnsi="微软雅黑" w:hint="eastAsia"/>
          <w:sz w:val="24"/>
          <w:szCs w:val="24"/>
        </w:rPr>
        <w:t>净值</w:t>
      </w:r>
      <w:r>
        <w:rPr>
          <w:rFonts w:ascii="微软雅黑" w:eastAsia="微软雅黑" w:hAnsi="微软雅黑"/>
          <w:sz w:val="24"/>
          <w:szCs w:val="24"/>
        </w:rPr>
        <w:t>599,243.62</w:t>
      </w:r>
      <w:r>
        <w:rPr>
          <w:rFonts w:ascii="微软雅黑" w:eastAsia="微软雅黑" w:hAnsi="微软雅黑" w:hint="eastAsia"/>
          <w:sz w:val="24"/>
          <w:szCs w:val="24"/>
        </w:rPr>
        <w:t>元，C类基金</w:t>
      </w:r>
      <w:r w:rsidR="007D1115">
        <w:rPr>
          <w:rFonts w:ascii="微软雅黑" w:eastAsia="微软雅黑" w:hAnsi="微软雅黑" w:hint="eastAsia"/>
          <w:sz w:val="24"/>
          <w:szCs w:val="24"/>
        </w:rPr>
        <w:t>资产</w:t>
      </w:r>
      <w:r>
        <w:rPr>
          <w:rFonts w:ascii="微软雅黑" w:eastAsia="微软雅黑" w:hAnsi="微软雅黑" w:hint="eastAsia"/>
          <w:sz w:val="24"/>
          <w:szCs w:val="24"/>
        </w:rPr>
        <w:t>净值</w:t>
      </w:r>
      <w:r>
        <w:rPr>
          <w:rFonts w:ascii="微软雅黑" w:eastAsia="微软雅黑" w:hAnsi="微软雅黑"/>
          <w:sz w:val="24"/>
          <w:szCs w:val="24"/>
        </w:rPr>
        <w:t>13,119.72</w:t>
      </w:r>
      <w:r>
        <w:rPr>
          <w:rFonts w:ascii="微软雅黑" w:eastAsia="微软雅黑" w:hAnsi="微软雅黑" w:hint="eastAsia"/>
          <w:sz w:val="24"/>
          <w:szCs w:val="24"/>
        </w:rPr>
        <w:t>元；基金份额总额</w:t>
      </w:r>
      <w:r>
        <w:rPr>
          <w:rFonts w:ascii="微软雅黑" w:eastAsia="微软雅黑" w:hAnsi="微软雅黑"/>
          <w:sz w:val="24"/>
          <w:szCs w:val="24"/>
        </w:rPr>
        <w:t>460,377.30</w:t>
      </w:r>
      <w:r>
        <w:rPr>
          <w:rFonts w:ascii="微软雅黑" w:eastAsia="微软雅黑" w:hAnsi="微软雅黑" w:hint="eastAsia"/>
          <w:sz w:val="24"/>
          <w:szCs w:val="24"/>
        </w:rPr>
        <w:t>份，其中A类基金份额</w:t>
      </w:r>
      <w:r>
        <w:rPr>
          <w:rFonts w:ascii="微软雅黑" w:eastAsia="微软雅黑" w:hAnsi="微软雅黑"/>
          <w:sz w:val="24"/>
          <w:szCs w:val="24"/>
        </w:rPr>
        <w:t>450,459.68</w:t>
      </w:r>
      <w:r>
        <w:rPr>
          <w:rFonts w:ascii="微软雅黑" w:eastAsia="微软雅黑" w:hAnsi="微软雅黑" w:hint="eastAsia"/>
          <w:sz w:val="24"/>
          <w:szCs w:val="24"/>
        </w:rPr>
        <w:t>份，C类基金份额</w:t>
      </w:r>
      <w:r>
        <w:rPr>
          <w:rFonts w:ascii="微软雅黑" w:eastAsia="微软雅黑" w:hAnsi="微软雅黑"/>
          <w:sz w:val="24"/>
          <w:szCs w:val="24"/>
        </w:rPr>
        <w:t>9,917.62</w:t>
      </w:r>
      <w:r>
        <w:rPr>
          <w:rFonts w:ascii="微软雅黑" w:eastAsia="微软雅黑" w:hAnsi="微软雅黑" w:hint="eastAsia"/>
          <w:sz w:val="24"/>
          <w:szCs w:val="24"/>
        </w:rPr>
        <w:t>份。</w:t>
      </w:r>
    </w:p>
    <w:p w:rsidR="00643AC9" w:rsidRDefault="000025B9">
      <w:pPr>
        <w:widowControl/>
        <w:shd w:val="clear" w:color="auto" w:fill="FFFFFF"/>
        <w:spacing w:before="450" w:after="150"/>
        <w:jc w:val="center"/>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五、 清算情况</w:t>
      </w:r>
    </w:p>
    <w:p w:rsidR="00643AC9" w:rsidRDefault="000025B9">
      <w:pPr>
        <w:autoSpaceDE w:val="0"/>
        <w:autoSpaceDN w:val="0"/>
        <w:adjustRightInd w:val="0"/>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自2022年</w:t>
      </w:r>
      <w:r>
        <w:rPr>
          <w:rFonts w:ascii="微软雅黑" w:eastAsia="微软雅黑" w:hAnsi="微软雅黑"/>
          <w:sz w:val="24"/>
          <w:szCs w:val="24"/>
        </w:rPr>
        <w:t>11</w:t>
      </w:r>
      <w:r>
        <w:rPr>
          <w:rFonts w:ascii="微软雅黑" w:eastAsia="微软雅黑" w:hAnsi="微软雅黑" w:hint="eastAsia"/>
          <w:sz w:val="24"/>
          <w:szCs w:val="24"/>
        </w:rPr>
        <w:t>月</w:t>
      </w:r>
      <w:r>
        <w:rPr>
          <w:rFonts w:ascii="微软雅黑" w:eastAsia="微软雅黑" w:hAnsi="微软雅黑"/>
          <w:sz w:val="24"/>
          <w:szCs w:val="24"/>
        </w:rPr>
        <w:t>17</w:t>
      </w:r>
      <w:r>
        <w:rPr>
          <w:rFonts w:ascii="微软雅黑" w:eastAsia="微软雅黑" w:hAnsi="微软雅黑" w:hint="eastAsia"/>
          <w:sz w:val="24"/>
          <w:szCs w:val="24"/>
        </w:rPr>
        <w:t>日至2022年12月21日止清算期间，基金财产清算小组对本基金的资产、负债进行清算，本次清算工作按清算原则和清算手续进行。具体清算情况如下：</w:t>
      </w:r>
    </w:p>
    <w:p w:rsidR="00643AC9" w:rsidRDefault="000025B9">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1、清算费用</w:t>
      </w:r>
    </w:p>
    <w:p w:rsidR="00643AC9" w:rsidRDefault="000025B9">
      <w:pPr>
        <w:spacing w:line="360" w:lineRule="auto"/>
        <w:ind w:firstLineChars="200" w:firstLine="480"/>
        <w:rPr>
          <w:rFonts w:ascii="微软雅黑" w:eastAsia="微软雅黑" w:hAnsi="微软雅黑"/>
          <w:bCs/>
          <w:sz w:val="24"/>
          <w:szCs w:val="24"/>
        </w:rPr>
      </w:pPr>
      <w:bookmarkStart w:id="0" w:name="_Toc98560364"/>
      <w:bookmarkStart w:id="1" w:name="_Toc9005"/>
      <w:bookmarkStart w:id="2" w:name="_Toc10006"/>
      <w:bookmarkStart w:id="3" w:name="_Toc8049"/>
      <w:bookmarkStart w:id="4" w:name="_Toc29891"/>
      <w:bookmarkStart w:id="5" w:name="_Toc335061214"/>
      <w:bookmarkStart w:id="6" w:name="_Toc123102466"/>
      <w:bookmarkStart w:id="7" w:name="_Toc141703899"/>
      <w:bookmarkStart w:id="8" w:name="_Toc25647"/>
      <w:bookmarkStart w:id="9" w:name="_Toc139991749"/>
      <w:bookmarkStart w:id="10" w:name="_Toc27464"/>
      <w:bookmarkStart w:id="11" w:name="_Toc7170"/>
      <w:bookmarkStart w:id="12" w:name="_Toc22978"/>
      <w:bookmarkStart w:id="13" w:name="_Toc8059"/>
      <w:bookmarkStart w:id="14" w:name="_Toc123051465"/>
      <w:bookmarkStart w:id="15" w:name="_Toc6237"/>
      <w:bookmarkStart w:id="16" w:name="_Toc123112247"/>
      <w:r>
        <w:rPr>
          <w:rFonts w:ascii="微软雅黑" w:eastAsia="微软雅黑" w:hAnsi="微软雅黑" w:hint="eastAsia"/>
          <w:bCs/>
          <w:sz w:val="24"/>
          <w:szCs w:val="24"/>
        </w:rPr>
        <w:t>按照《</w:t>
      </w:r>
      <w:r>
        <w:rPr>
          <w:rFonts w:ascii="微软雅黑" w:eastAsia="微软雅黑" w:hAnsi="微软雅黑" w:hint="eastAsia"/>
          <w:sz w:val="24"/>
          <w:szCs w:val="24"/>
        </w:rPr>
        <w:t>申万菱信价值优利混合型证券投资基金</w:t>
      </w:r>
      <w:r>
        <w:rPr>
          <w:rFonts w:ascii="微软雅黑" w:eastAsia="微软雅黑" w:hAnsi="微软雅黑" w:hint="eastAsia"/>
          <w:bCs/>
          <w:sz w:val="24"/>
          <w:szCs w:val="24"/>
        </w:rPr>
        <w:t>基金合同》“</w:t>
      </w:r>
      <w:bookmarkStart w:id="17" w:name="_Toc4653511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微软雅黑" w:eastAsia="微软雅黑" w:hAnsi="微软雅黑" w:hint="eastAsia"/>
          <w:bCs/>
          <w:sz w:val="24"/>
          <w:szCs w:val="24"/>
        </w:rPr>
        <w:t>第十九部分</w:t>
      </w:r>
      <w:r>
        <w:rPr>
          <w:rFonts w:ascii="微软雅黑" w:eastAsia="微软雅黑" w:hAnsi="微软雅黑"/>
          <w:bCs/>
          <w:sz w:val="24"/>
          <w:szCs w:val="24"/>
        </w:rPr>
        <w:t xml:space="preserve">  </w:t>
      </w:r>
      <w:bookmarkStart w:id="18" w:name="_Hlt88828593"/>
      <w:r>
        <w:rPr>
          <w:rFonts w:ascii="微软雅黑" w:eastAsia="微软雅黑" w:hAnsi="微软雅黑" w:hint="eastAsia"/>
          <w:bCs/>
          <w:sz w:val="24"/>
          <w:szCs w:val="24"/>
        </w:rPr>
        <w:t>基金合同</w:t>
      </w:r>
      <w:bookmarkEnd w:id="18"/>
      <w:r>
        <w:rPr>
          <w:rFonts w:ascii="微软雅黑" w:eastAsia="微软雅黑" w:hAnsi="微软雅黑" w:hint="eastAsia"/>
          <w:bCs/>
          <w:sz w:val="24"/>
          <w:szCs w:val="24"/>
        </w:rPr>
        <w:t>的变更、终止与基金财产的清算</w:t>
      </w:r>
      <w:bookmarkEnd w:id="17"/>
      <w:r>
        <w:rPr>
          <w:rFonts w:ascii="微软雅黑" w:eastAsia="微软雅黑" w:hAnsi="微软雅黑" w:hint="eastAsia"/>
          <w:bCs/>
          <w:sz w:val="24"/>
          <w:szCs w:val="24"/>
        </w:rPr>
        <w:t xml:space="preserve">”的规定，清算费用是指基金财产清算小组在进行基金财产清算过程中发生的所有合理费用，清算费用由基金财产清算小组优先从基金剩余财产中支付。   </w:t>
      </w:r>
    </w:p>
    <w:p w:rsidR="00643AC9" w:rsidRDefault="000025B9">
      <w:pPr>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 xml:space="preserve"> 2、资产处置情况</w:t>
      </w:r>
    </w:p>
    <w:p w:rsidR="00643AC9" w:rsidRDefault="000025B9">
      <w:pPr>
        <w:autoSpaceDE w:val="0"/>
        <w:autoSpaceDN w:val="0"/>
        <w:adjustRightInd w:val="0"/>
        <w:ind w:firstLineChars="200" w:firstLine="480"/>
        <w:jc w:val="left"/>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1）本基金最后运作日结算备付金为人民币1,104.22</w:t>
      </w:r>
      <w:r>
        <w:rPr>
          <w:rFonts w:ascii="微软雅黑" w:eastAsia="微软雅黑" w:hAnsi="微软雅黑" w:hint="eastAsia"/>
          <w:bCs/>
          <w:sz w:val="24"/>
          <w:szCs w:val="24"/>
        </w:rPr>
        <w:t>元（含应计利息，下同）。其中交易所最低备付金为人民币</w:t>
      </w:r>
      <w:r>
        <w:rPr>
          <w:rFonts w:ascii="微软雅黑" w:eastAsia="微软雅黑" w:hAnsi="微软雅黑"/>
          <w:bCs/>
          <w:sz w:val="24"/>
          <w:szCs w:val="24"/>
        </w:rPr>
        <w:t>4.22</w:t>
      </w:r>
      <w:r>
        <w:rPr>
          <w:rFonts w:ascii="微软雅黑" w:eastAsia="微软雅黑" w:hAnsi="微软雅黑" w:hint="eastAsia"/>
          <w:bCs/>
          <w:sz w:val="24"/>
          <w:szCs w:val="24"/>
        </w:rPr>
        <w:t>元，为存放于中国证券登记结算有限责任公司的结算备付金及应计利息，该款项预计将于</w:t>
      </w:r>
      <w:r>
        <w:rPr>
          <w:rFonts w:ascii="微软雅黑" w:eastAsia="微软雅黑" w:hAnsi="微软雅黑"/>
          <w:bCs/>
          <w:sz w:val="24"/>
          <w:szCs w:val="24"/>
        </w:rPr>
        <w:t>2022年12月21日划入托管账户。期货清算备付金及其应计利息总和为人民币1,100.00</w:t>
      </w:r>
      <w:r>
        <w:rPr>
          <w:rFonts w:ascii="微软雅黑" w:eastAsia="微软雅黑" w:hAnsi="微软雅黑" w:hint="eastAsia"/>
          <w:bCs/>
          <w:sz w:val="24"/>
          <w:szCs w:val="24"/>
        </w:rPr>
        <w:t>元，已于</w:t>
      </w:r>
      <w:r>
        <w:rPr>
          <w:rFonts w:ascii="微软雅黑" w:eastAsia="微软雅黑" w:hAnsi="微软雅黑"/>
          <w:bCs/>
          <w:sz w:val="24"/>
          <w:szCs w:val="24"/>
        </w:rPr>
        <w:t>2022年11</w:t>
      </w:r>
      <w:r>
        <w:rPr>
          <w:rFonts w:ascii="微软雅黑" w:eastAsia="微软雅黑" w:hAnsi="微软雅黑" w:hint="eastAsia"/>
          <w:bCs/>
          <w:sz w:val="24"/>
          <w:szCs w:val="24"/>
        </w:rPr>
        <w:t>月</w:t>
      </w:r>
      <w:r>
        <w:rPr>
          <w:rFonts w:ascii="微软雅黑" w:eastAsia="微软雅黑" w:hAnsi="微软雅黑"/>
          <w:bCs/>
          <w:sz w:val="24"/>
          <w:szCs w:val="24"/>
        </w:rPr>
        <w:t>24</w:t>
      </w:r>
      <w:r>
        <w:rPr>
          <w:rFonts w:ascii="微软雅黑" w:eastAsia="微软雅黑" w:hAnsi="微软雅黑" w:hint="eastAsia"/>
          <w:bCs/>
          <w:sz w:val="24"/>
          <w:szCs w:val="24"/>
        </w:rPr>
        <w:t>日划入托管账户。</w:t>
      </w:r>
    </w:p>
    <w:p w:rsidR="00643AC9" w:rsidRDefault="000025B9">
      <w:pPr>
        <w:autoSpaceDE w:val="0"/>
        <w:autoSpaceDN w:val="0"/>
        <w:adjustRightInd w:val="0"/>
        <w:ind w:firstLineChars="200" w:firstLine="480"/>
        <w:jc w:val="left"/>
        <w:rPr>
          <w:rFonts w:ascii="微软雅黑" w:eastAsia="微软雅黑" w:hAnsi="微软雅黑"/>
          <w:bCs/>
          <w:sz w:val="24"/>
          <w:szCs w:val="24"/>
        </w:rPr>
      </w:pPr>
      <w:r>
        <w:rPr>
          <w:rFonts w:ascii="微软雅黑" w:eastAsia="微软雅黑" w:hAnsi="微软雅黑" w:hint="eastAsia"/>
          <w:bCs/>
          <w:sz w:val="24"/>
          <w:szCs w:val="24"/>
        </w:rPr>
        <w:t>（2）本基金最后运作日存出保证金为人民币</w:t>
      </w:r>
      <w:r>
        <w:rPr>
          <w:rFonts w:ascii="微软雅黑" w:eastAsia="微软雅黑" w:hAnsi="微软雅黑"/>
          <w:bCs/>
          <w:sz w:val="24"/>
          <w:szCs w:val="24"/>
        </w:rPr>
        <w:t>30,397.39</w:t>
      </w:r>
      <w:r>
        <w:rPr>
          <w:rFonts w:ascii="微软雅黑" w:eastAsia="微软雅黑" w:hAnsi="微软雅黑" w:hint="eastAsia"/>
          <w:bCs/>
          <w:sz w:val="24"/>
          <w:szCs w:val="24"/>
        </w:rPr>
        <w:t>元（含应计利息，下同）， 为存放于中国证券登记结算有限责任公司的存出保证金及应计利息，该款项已于2022年12月2日划入托管账户。</w:t>
      </w:r>
    </w:p>
    <w:p w:rsidR="00643AC9" w:rsidRDefault="000025B9">
      <w:pPr>
        <w:autoSpaceDE w:val="0"/>
        <w:autoSpaceDN w:val="0"/>
        <w:adjustRightInd w:val="0"/>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（3）本基金最后运作日交易性金融资产估值金额人民币</w:t>
      </w:r>
      <w:r>
        <w:rPr>
          <w:rFonts w:ascii="微软雅黑" w:eastAsia="微软雅黑" w:hAnsi="微软雅黑"/>
          <w:bCs/>
          <w:sz w:val="24"/>
          <w:szCs w:val="24"/>
        </w:rPr>
        <w:t>418,941.24</w:t>
      </w:r>
      <w:r>
        <w:rPr>
          <w:rFonts w:ascii="微软雅黑" w:eastAsia="微软雅黑" w:hAnsi="微软雅黑" w:hint="eastAsia"/>
          <w:bCs/>
          <w:sz w:val="24"/>
          <w:szCs w:val="24"/>
        </w:rPr>
        <w:t>元（含应计利息，下同），全部为股票投资。已最晚于2022年11月22日全部变现，相关证券清算款已最晚于2022年11月23日划入托管账户。</w:t>
      </w:r>
      <w:r>
        <w:rPr>
          <w:rFonts w:ascii="微软雅黑" w:eastAsia="微软雅黑" w:hAnsi="微软雅黑"/>
          <w:bCs/>
          <w:sz w:val="24"/>
          <w:szCs w:val="24"/>
        </w:rPr>
        <w:t xml:space="preserve"> </w:t>
      </w:r>
    </w:p>
    <w:p w:rsidR="00643AC9" w:rsidRDefault="000025B9">
      <w:pPr>
        <w:autoSpaceDE w:val="0"/>
        <w:autoSpaceDN w:val="0"/>
        <w:adjustRightInd w:val="0"/>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3、负债清偿情况</w:t>
      </w:r>
    </w:p>
    <w:p w:rsidR="00643AC9" w:rsidRDefault="000025B9">
      <w:pPr>
        <w:ind w:firstLineChars="200" w:firstLine="480"/>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1</w:t>
      </w:r>
      <w:r>
        <w:rPr>
          <w:rFonts w:ascii="微软雅黑" w:eastAsia="微软雅黑" w:hAnsi="微软雅黑" w:hint="eastAsia"/>
          <w:bCs/>
          <w:sz w:val="24"/>
          <w:szCs w:val="24"/>
        </w:rPr>
        <w:t>)本基金最后运作日应付赎回款（含应付转出款）为人民币</w:t>
      </w:r>
      <w:r>
        <w:rPr>
          <w:rFonts w:ascii="微软雅黑" w:eastAsia="微软雅黑" w:hAnsi="微软雅黑"/>
          <w:color w:val="000000"/>
          <w:sz w:val="24"/>
          <w:szCs w:val="24"/>
        </w:rPr>
        <w:t>139,074.59</w:t>
      </w:r>
      <w:r>
        <w:rPr>
          <w:rFonts w:ascii="微软雅黑" w:eastAsia="微软雅黑" w:hAnsi="微软雅黑" w:hint="eastAsia"/>
          <w:bCs/>
          <w:sz w:val="24"/>
          <w:szCs w:val="24"/>
        </w:rPr>
        <w:t>元，已于2022年11月22日支付。</w:t>
      </w:r>
    </w:p>
    <w:p w:rsidR="00643AC9" w:rsidRDefault="000025B9">
      <w:pPr>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2</w:t>
      </w:r>
      <w:r>
        <w:rPr>
          <w:rFonts w:ascii="微软雅黑" w:eastAsia="微软雅黑" w:hAnsi="微软雅黑" w:hint="eastAsia"/>
          <w:bCs/>
          <w:sz w:val="24"/>
          <w:szCs w:val="24"/>
        </w:rPr>
        <w:t>)本基金最后运作日应付管理人报酬为人民币</w:t>
      </w:r>
      <w:r>
        <w:rPr>
          <w:rFonts w:ascii="微软雅黑" w:eastAsia="微软雅黑" w:hAnsi="微软雅黑"/>
          <w:color w:val="000000"/>
          <w:sz w:val="24"/>
          <w:szCs w:val="24"/>
        </w:rPr>
        <w:t>416.31</w:t>
      </w:r>
      <w:r>
        <w:rPr>
          <w:rFonts w:ascii="微软雅黑" w:eastAsia="微软雅黑" w:hAnsi="微软雅黑" w:hint="eastAsia"/>
          <w:bCs/>
          <w:sz w:val="24"/>
          <w:szCs w:val="24"/>
        </w:rPr>
        <w:t>元，已于2022年12月2日支付。</w:t>
      </w:r>
    </w:p>
    <w:p w:rsidR="00643AC9" w:rsidRDefault="000025B9">
      <w:pPr>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3</w:t>
      </w:r>
      <w:r>
        <w:rPr>
          <w:rFonts w:ascii="微软雅黑" w:eastAsia="微软雅黑" w:hAnsi="微软雅黑" w:hint="eastAsia"/>
          <w:bCs/>
          <w:sz w:val="24"/>
          <w:szCs w:val="24"/>
        </w:rPr>
        <w:t>)本基金最后运作日应付托管费为人民币</w:t>
      </w:r>
      <w:r>
        <w:rPr>
          <w:rFonts w:ascii="微软雅黑" w:eastAsia="微软雅黑" w:hAnsi="微软雅黑"/>
          <w:color w:val="000000"/>
          <w:sz w:val="24"/>
          <w:szCs w:val="24"/>
        </w:rPr>
        <w:t>34.68</w:t>
      </w:r>
      <w:r>
        <w:rPr>
          <w:rFonts w:ascii="微软雅黑" w:eastAsia="微软雅黑" w:hAnsi="微软雅黑" w:hint="eastAsia"/>
          <w:bCs/>
          <w:sz w:val="24"/>
          <w:szCs w:val="24"/>
        </w:rPr>
        <w:t>元，已于2022年12月2日支付。</w:t>
      </w:r>
    </w:p>
    <w:p w:rsidR="00643AC9" w:rsidRDefault="000025B9">
      <w:pPr>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(4)本基金最后运作日应付销售服务费为人民币</w:t>
      </w:r>
      <w:r>
        <w:rPr>
          <w:rFonts w:ascii="微软雅黑" w:eastAsia="微软雅黑" w:hAnsi="微软雅黑"/>
          <w:color w:val="000000"/>
          <w:sz w:val="24"/>
          <w:szCs w:val="24"/>
        </w:rPr>
        <w:t>3.36</w:t>
      </w:r>
      <w:r>
        <w:rPr>
          <w:rFonts w:ascii="微软雅黑" w:eastAsia="微软雅黑" w:hAnsi="微软雅黑" w:hint="eastAsia"/>
          <w:bCs/>
          <w:sz w:val="24"/>
          <w:szCs w:val="24"/>
        </w:rPr>
        <w:t>元，已于2022年12月2日支付。</w:t>
      </w:r>
    </w:p>
    <w:p w:rsidR="00643AC9" w:rsidRDefault="000025B9">
      <w:pPr>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(5)本基金最后运作日应付证券清算款为人民币</w:t>
      </w:r>
      <w:r>
        <w:rPr>
          <w:rFonts w:ascii="微软雅黑" w:eastAsia="微软雅黑" w:hAnsi="微软雅黑"/>
          <w:color w:val="000000"/>
          <w:sz w:val="24"/>
          <w:szCs w:val="24"/>
        </w:rPr>
        <w:t>79.39</w:t>
      </w:r>
      <w:r>
        <w:rPr>
          <w:rFonts w:ascii="微软雅黑" w:eastAsia="微软雅黑" w:hAnsi="微软雅黑" w:hint="eastAsia"/>
          <w:bCs/>
          <w:sz w:val="24"/>
          <w:szCs w:val="24"/>
        </w:rPr>
        <w:t>元，已于2022年11月24日支付。</w:t>
      </w:r>
      <w:r>
        <w:rPr>
          <w:rFonts w:ascii="微软雅黑" w:eastAsia="微软雅黑" w:hAnsi="微软雅黑" w:cs="Arial"/>
          <w:color w:val="000000"/>
          <w:kern w:val="0"/>
          <w:sz w:val="24"/>
          <w:szCs w:val="24"/>
        </w:rPr>
        <w:t xml:space="preserve"> </w:t>
      </w:r>
    </w:p>
    <w:p w:rsidR="00643AC9" w:rsidRDefault="000025B9">
      <w:pPr>
        <w:ind w:firstLineChars="200" w:firstLine="480"/>
        <w:rPr>
          <w:rFonts w:ascii="微软雅黑" w:eastAsia="微软雅黑" w:hAnsi="微软雅黑"/>
          <w:bCs/>
          <w:sz w:val="24"/>
          <w:szCs w:val="24"/>
        </w:rPr>
      </w:pPr>
      <w:r>
        <w:rPr>
          <w:rFonts w:ascii="微软雅黑" w:eastAsia="微软雅黑" w:hAnsi="微软雅黑" w:hint="eastAsia"/>
          <w:bCs/>
          <w:sz w:val="24"/>
          <w:szCs w:val="24"/>
        </w:rPr>
        <w:t>(6)本基金最后运作日其他负债为人民币</w:t>
      </w:r>
      <w:r>
        <w:rPr>
          <w:rFonts w:ascii="微软雅黑" w:eastAsia="微软雅黑" w:hAnsi="微软雅黑"/>
          <w:color w:val="000000"/>
          <w:sz w:val="24"/>
          <w:szCs w:val="24"/>
        </w:rPr>
        <w:t>120,171.53</w:t>
      </w:r>
      <w:r>
        <w:rPr>
          <w:rFonts w:ascii="微软雅黑" w:eastAsia="微软雅黑" w:hAnsi="微软雅黑" w:hint="eastAsia"/>
          <w:bCs/>
          <w:sz w:val="24"/>
          <w:szCs w:val="24"/>
        </w:rPr>
        <w:t>元，其中应付券商佣金84.67元，已于2022年11月25日支付；其中应付审计费47,084.53元，已于2022年12月15日支付；其中应付信息披露费53,000.00元，已于2022年12月16日支付；其中律师费20,000.00元，已于2022年12月8日支付。</w:t>
      </w:r>
    </w:p>
    <w:p w:rsidR="00643AC9" w:rsidRDefault="00643AC9">
      <w:pPr>
        <w:ind w:firstLineChars="200" w:firstLine="480"/>
        <w:rPr>
          <w:rFonts w:ascii="微软雅黑" w:eastAsia="微软雅黑" w:hAnsi="微软雅黑"/>
          <w:bCs/>
          <w:sz w:val="24"/>
          <w:szCs w:val="24"/>
        </w:rPr>
      </w:pPr>
    </w:p>
    <w:p w:rsidR="00643AC9" w:rsidRDefault="000025B9">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4、资产处置及负债清偿后的剩余资产分配情况</w:t>
      </w:r>
    </w:p>
    <w:p w:rsidR="00643AC9" w:rsidRDefault="000025B9">
      <w:pPr>
        <w:spacing w:line="360" w:lineRule="auto"/>
        <w:rPr>
          <w:rFonts w:ascii="微软雅黑" w:eastAsia="微软雅黑" w:hAnsi="微软雅黑"/>
          <w:sz w:val="24"/>
          <w:szCs w:val="24"/>
        </w:rPr>
      </w:pPr>
      <w:r>
        <w:rPr>
          <w:rFonts w:ascii="微软雅黑" w:eastAsia="微软雅黑" w:hAnsi="微软雅黑" w:cs="宋体" w:hint="eastAsia"/>
          <w:color w:val="000000"/>
          <w:sz w:val="24"/>
          <w:szCs w:val="24"/>
        </w:rPr>
        <w:t>单位：人民币元</w:t>
      </w:r>
    </w:p>
    <w:tbl>
      <w:tblPr>
        <w:tblW w:w="8325" w:type="dxa"/>
        <w:jc w:val="center"/>
        <w:tblBorders>
          <w:top w:val="single" w:sz="8" w:space="0" w:color="000000"/>
          <w:left w:val="single" w:sz="8" w:space="0" w:color="000000"/>
          <w:bottom w:val="single" w:sz="8" w:space="0" w:color="000000"/>
          <w:right w:val="single" w:sz="8" w:space="0" w:color="000000"/>
        </w:tblBorders>
        <w:tblLayout w:type="fixed"/>
        <w:tblLook w:val="04A0"/>
      </w:tblPr>
      <w:tblGrid>
        <w:gridCol w:w="5822"/>
        <w:gridCol w:w="2503"/>
      </w:tblGrid>
      <w:tr w:rsidR="00643AC9">
        <w:trPr>
          <w:trHeight w:val="104"/>
          <w:jc w:val="center"/>
        </w:trPr>
        <w:tc>
          <w:tcPr>
            <w:tcW w:w="5822" w:type="dxa"/>
            <w:tcBorders>
              <w:top w:val="single" w:sz="8" w:space="0" w:color="000000"/>
              <w:left w:val="single" w:sz="8" w:space="0" w:color="000000"/>
              <w:bottom w:val="single" w:sz="8" w:space="0" w:color="000000"/>
              <w:right w:val="single" w:sz="8" w:space="0" w:color="000000"/>
            </w:tcBorders>
          </w:tcPr>
          <w:p w:rsidR="00643AC9" w:rsidRDefault="000025B9">
            <w:pPr>
              <w:autoSpaceDE w:val="0"/>
              <w:autoSpaceDN w:val="0"/>
              <w:adjustRightInd w:val="0"/>
              <w:spacing w:line="360" w:lineRule="auto"/>
              <w:jc w:val="center"/>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项  目</w:t>
            </w:r>
          </w:p>
        </w:tc>
        <w:tc>
          <w:tcPr>
            <w:tcW w:w="2503" w:type="dxa"/>
            <w:tcBorders>
              <w:top w:val="single" w:sz="8" w:space="0" w:color="000000"/>
              <w:left w:val="single" w:sz="8" w:space="0" w:color="000000"/>
              <w:bottom w:val="single" w:sz="8" w:space="0" w:color="000000"/>
              <w:right w:val="single" w:sz="8" w:space="0" w:color="000000"/>
            </w:tcBorders>
          </w:tcPr>
          <w:p w:rsidR="00643AC9" w:rsidRDefault="000025B9">
            <w:pPr>
              <w:autoSpaceDE w:val="0"/>
              <w:autoSpaceDN w:val="0"/>
              <w:adjustRightInd w:val="0"/>
              <w:spacing w:line="360" w:lineRule="auto"/>
              <w:jc w:val="center"/>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金 额</w:t>
            </w:r>
          </w:p>
        </w:tc>
      </w:tr>
      <w:tr w:rsidR="00643AC9">
        <w:trPr>
          <w:trHeight w:val="457"/>
          <w:jc w:val="center"/>
        </w:trPr>
        <w:tc>
          <w:tcPr>
            <w:tcW w:w="5822" w:type="dxa"/>
            <w:tcBorders>
              <w:top w:val="single" w:sz="8" w:space="0" w:color="000000"/>
              <w:left w:val="single" w:sz="8" w:space="0" w:color="000000"/>
              <w:bottom w:val="single" w:sz="8" w:space="0" w:color="000000"/>
              <w:right w:val="single" w:sz="8" w:space="0" w:color="000000"/>
            </w:tcBorders>
            <w:vAlign w:val="center"/>
          </w:tcPr>
          <w:p w:rsidR="00643AC9" w:rsidRDefault="000025B9">
            <w:pPr>
              <w:autoSpaceDE w:val="0"/>
              <w:autoSpaceDN w:val="0"/>
              <w:adjustRightInd w:val="0"/>
              <w:spacing w:line="360" w:lineRule="auto"/>
              <w:ind w:firstLine="34"/>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一、最后运作日2022年</w:t>
            </w:r>
            <w:r>
              <w:rPr>
                <w:rFonts w:ascii="微软雅黑" w:eastAsia="微软雅黑" w:hAnsi="微软雅黑" w:cs="宋体"/>
                <w:color w:val="000000"/>
                <w:sz w:val="24"/>
                <w:szCs w:val="24"/>
              </w:rPr>
              <w:t>11</w:t>
            </w:r>
            <w:r>
              <w:rPr>
                <w:rFonts w:ascii="微软雅黑" w:eastAsia="微软雅黑" w:hAnsi="微软雅黑" w:cs="宋体" w:hint="eastAsia"/>
                <w:color w:val="000000"/>
                <w:sz w:val="24"/>
                <w:szCs w:val="24"/>
              </w:rPr>
              <w:t>月</w:t>
            </w:r>
            <w:r>
              <w:rPr>
                <w:rFonts w:ascii="微软雅黑" w:eastAsia="微软雅黑" w:hAnsi="微软雅黑" w:cs="宋体"/>
                <w:color w:val="000000"/>
                <w:sz w:val="24"/>
                <w:szCs w:val="24"/>
              </w:rPr>
              <w:t>17</w:t>
            </w:r>
            <w:r>
              <w:rPr>
                <w:rFonts w:ascii="微软雅黑" w:eastAsia="微软雅黑" w:hAnsi="微软雅黑" w:cs="宋体" w:hint="eastAsia"/>
                <w:color w:val="000000"/>
                <w:sz w:val="24"/>
                <w:szCs w:val="24"/>
              </w:rPr>
              <w:t xml:space="preserve">日基金净资产 </w:t>
            </w:r>
          </w:p>
        </w:tc>
        <w:tc>
          <w:tcPr>
            <w:tcW w:w="2503" w:type="dxa"/>
            <w:tcBorders>
              <w:top w:val="single" w:sz="8" w:space="0" w:color="000000"/>
              <w:left w:val="single" w:sz="8" w:space="0" w:color="000000"/>
              <w:bottom w:val="single" w:sz="8" w:space="0" w:color="000000"/>
              <w:right w:val="single" w:sz="8" w:space="0" w:color="000000"/>
            </w:tcBorders>
            <w:vAlign w:val="center"/>
          </w:tcPr>
          <w:p w:rsidR="00643AC9" w:rsidRDefault="000025B9">
            <w:pPr>
              <w:autoSpaceDE w:val="0"/>
              <w:autoSpaceDN w:val="0"/>
              <w:adjustRightInd w:val="0"/>
              <w:spacing w:line="360" w:lineRule="auto"/>
              <w:ind w:firstLine="34"/>
              <w:jc w:val="right"/>
              <w:rPr>
                <w:rFonts w:ascii="微软雅黑" w:eastAsia="微软雅黑" w:hAnsi="微软雅黑" w:cs="宋体"/>
                <w:color w:val="000000"/>
                <w:sz w:val="24"/>
                <w:szCs w:val="24"/>
              </w:rPr>
            </w:pPr>
            <w:r>
              <w:rPr>
                <w:rFonts w:ascii="微软雅黑" w:eastAsia="微软雅黑" w:hAnsi="微软雅黑" w:hint="eastAsia"/>
                <w:b/>
                <w:color w:val="000000"/>
                <w:sz w:val="24"/>
                <w:szCs w:val="24"/>
              </w:rPr>
              <w:t>612,363.34</w:t>
            </w:r>
          </w:p>
        </w:tc>
      </w:tr>
      <w:tr w:rsidR="00643AC9">
        <w:trPr>
          <w:trHeight w:val="104"/>
          <w:jc w:val="center"/>
        </w:trPr>
        <w:tc>
          <w:tcPr>
            <w:tcW w:w="5822" w:type="dxa"/>
            <w:tcBorders>
              <w:top w:val="single" w:sz="8" w:space="0" w:color="000000"/>
              <w:left w:val="single" w:sz="8" w:space="0" w:color="000000"/>
              <w:bottom w:val="single" w:sz="8" w:space="0" w:color="000000"/>
              <w:right w:val="single" w:sz="8" w:space="0" w:color="000000"/>
            </w:tcBorders>
            <w:vAlign w:val="center"/>
          </w:tcPr>
          <w:p w:rsidR="00643AC9" w:rsidRDefault="000025B9">
            <w:pPr>
              <w:autoSpaceDE w:val="0"/>
              <w:autoSpaceDN w:val="0"/>
              <w:adjustRightInd w:val="0"/>
              <w:spacing w:line="360" w:lineRule="auto"/>
              <w:ind w:firstLine="34"/>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加：清算期间清算净损益</w:t>
            </w:r>
          </w:p>
        </w:tc>
        <w:tc>
          <w:tcPr>
            <w:tcW w:w="2503" w:type="dxa"/>
            <w:tcBorders>
              <w:top w:val="single" w:sz="8" w:space="0" w:color="000000"/>
              <w:left w:val="single" w:sz="8" w:space="0" w:color="000000"/>
              <w:bottom w:val="single" w:sz="8" w:space="0" w:color="000000"/>
              <w:right w:val="single" w:sz="8" w:space="0" w:color="000000"/>
            </w:tcBorders>
            <w:vAlign w:val="center"/>
          </w:tcPr>
          <w:p w:rsidR="00643AC9" w:rsidRDefault="000025B9">
            <w:pPr>
              <w:jc w:val="right"/>
              <w:rPr>
                <w:rFonts w:ascii="微软雅黑" w:eastAsia="微软雅黑" w:hAnsi="微软雅黑" w:cs="宋体"/>
                <w:color w:val="000000"/>
                <w:sz w:val="24"/>
                <w:szCs w:val="24"/>
              </w:rPr>
            </w:pPr>
            <w:r>
              <w:rPr>
                <w:rFonts w:ascii="微软雅黑" w:eastAsia="微软雅黑" w:hAnsi="微软雅黑" w:cs="宋体"/>
                <w:color w:val="000000"/>
                <w:sz w:val="24"/>
                <w:szCs w:val="24"/>
              </w:rPr>
              <w:t>-7,718.63</w:t>
            </w:r>
          </w:p>
        </w:tc>
      </w:tr>
      <w:tr w:rsidR="00643AC9">
        <w:trPr>
          <w:trHeight w:val="130"/>
          <w:jc w:val="center"/>
        </w:trPr>
        <w:tc>
          <w:tcPr>
            <w:tcW w:w="5822" w:type="dxa"/>
            <w:tcBorders>
              <w:top w:val="single" w:sz="8" w:space="0" w:color="000000"/>
              <w:left w:val="single" w:sz="8" w:space="0" w:color="000000"/>
              <w:bottom w:val="single" w:sz="8" w:space="0" w:color="000000"/>
              <w:right w:val="single" w:sz="8" w:space="0" w:color="000000"/>
            </w:tcBorders>
            <w:vAlign w:val="center"/>
          </w:tcPr>
          <w:p w:rsidR="00643AC9" w:rsidRDefault="000025B9">
            <w:pPr>
              <w:autoSpaceDE w:val="0"/>
              <w:autoSpaceDN w:val="0"/>
              <w:adjustRightInd w:val="0"/>
              <w:spacing w:line="360" w:lineRule="auto"/>
              <w:ind w:firstLine="34"/>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三、</w:t>
            </w:r>
            <w:r>
              <w:rPr>
                <w:rFonts w:ascii="微软雅黑" w:eastAsia="微软雅黑" w:hAnsi="微软雅黑" w:hint="eastAsia"/>
                <w:sz w:val="24"/>
                <w:szCs w:val="24"/>
              </w:rPr>
              <w:t>2022年12月21日</w:t>
            </w:r>
            <w:r>
              <w:rPr>
                <w:rFonts w:ascii="微软雅黑" w:eastAsia="微软雅黑" w:hAnsi="微软雅黑" w:cs="宋体" w:hint="eastAsia"/>
                <w:color w:val="000000"/>
                <w:sz w:val="24"/>
                <w:szCs w:val="24"/>
              </w:rPr>
              <w:t>基金净资产</w:t>
            </w:r>
          </w:p>
        </w:tc>
        <w:tc>
          <w:tcPr>
            <w:tcW w:w="2503" w:type="dxa"/>
            <w:tcBorders>
              <w:top w:val="single" w:sz="8" w:space="0" w:color="000000"/>
              <w:left w:val="single" w:sz="8" w:space="0" w:color="000000"/>
              <w:bottom w:val="single" w:sz="8" w:space="0" w:color="000000"/>
              <w:right w:val="single" w:sz="8" w:space="0" w:color="000000"/>
            </w:tcBorders>
            <w:vAlign w:val="center"/>
          </w:tcPr>
          <w:p w:rsidR="00643AC9" w:rsidRDefault="000025B9">
            <w:pPr>
              <w:autoSpaceDE w:val="0"/>
              <w:autoSpaceDN w:val="0"/>
              <w:adjustRightInd w:val="0"/>
              <w:spacing w:line="360" w:lineRule="auto"/>
              <w:ind w:firstLine="34"/>
              <w:jc w:val="right"/>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604,644.71</w:t>
            </w:r>
          </w:p>
        </w:tc>
      </w:tr>
    </w:tbl>
    <w:p w:rsidR="00643AC9" w:rsidRDefault="000025B9">
      <w:pPr>
        <w:autoSpaceDE w:val="0"/>
        <w:autoSpaceDN w:val="0"/>
        <w:adjustRightInd w:val="0"/>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资产处置及负债清偿后，于2022年12月21日本基金剩余财产为人民币</w:t>
      </w:r>
      <w:r>
        <w:rPr>
          <w:rFonts w:ascii="微软雅黑" w:eastAsia="微软雅黑" w:hAnsi="微软雅黑" w:cs="宋体" w:hint="eastAsia"/>
          <w:color w:val="000000"/>
          <w:sz w:val="24"/>
          <w:szCs w:val="24"/>
        </w:rPr>
        <w:t>604,644.71</w:t>
      </w:r>
      <w:r>
        <w:rPr>
          <w:rFonts w:ascii="微软雅黑" w:eastAsia="微软雅黑" w:hAnsi="微软雅黑" w:hint="eastAsia"/>
          <w:sz w:val="24"/>
          <w:szCs w:val="24"/>
        </w:rPr>
        <w:t>元。根据《申万菱信基金管理有限公司关于申万菱信价值优利混合型证券投资基金基金合同终止及基金财产清算的公告》，依据基金财产清算的分配方案，将基金财产清算后的全部剩余资产扣除基金财产清算费用、交纳所欠税款并清偿基金债务后，根据基金合同终止日基金份额持有人持有的基金份额比例进行分配。</w:t>
      </w:r>
    </w:p>
    <w:p w:rsidR="00643AC9" w:rsidRDefault="000025B9">
      <w:pPr>
        <w:autoSpaceDE w:val="0"/>
        <w:autoSpaceDN w:val="0"/>
        <w:adjustRightInd w:val="0"/>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2022年12月21日至本基金最后一笔清算款划出日前一日的银行存款、存出保证金、结算备付金及前述资金产生的利息亦属基金份额持有人所有，为保护基金份额持有人利益，加快清盘速度，基金管理人申万菱信基金管理有限公司将于最后一笔清算款划出日以自有资金垫付该笔款项（该金额可能与实际结息金额存在略微差异），供清盘分配使用。基金管理人垫付的资金以及垫付资金到账日起孳生的利息将于清算期后返还给基金管理人</w:t>
      </w:r>
      <w:r>
        <w:rPr>
          <w:rFonts w:ascii="微软雅黑" w:eastAsia="微软雅黑" w:hAnsi="微软雅黑" w:hint="eastAsia"/>
          <w:bCs/>
          <w:sz w:val="24"/>
          <w:szCs w:val="24"/>
        </w:rPr>
        <w:t>，基金财产清偿完毕之后所产生的其他任何费用亦由基金管理人承担</w:t>
      </w:r>
      <w:r>
        <w:rPr>
          <w:rFonts w:ascii="微软雅黑" w:eastAsia="微软雅黑" w:hAnsi="微软雅黑" w:hint="eastAsia"/>
          <w:sz w:val="24"/>
          <w:szCs w:val="24"/>
        </w:rPr>
        <w:t>。</w:t>
      </w:r>
      <w:bookmarkStart w:id="19" w:name="_GoBack"/>
      <w:bookmarkEnd w:id="19"/>
    </w:p>
    <w:p w:rsidR="00643AC9" w:rsidRDefault="00643AC9">
      <w:pPr>
        <w:autoSpaceDE w:val="0"/>
        <w:autoSpaceDN w:val="0"/>
        <w:adjustRightInd w:val="0"/>
        <w:spacing w:line="360" w:lineRule="auto"/>
        <w:rPr>
          <w:rFonts w:ascii="微软雅黑" w:eastAsia="微软雅黑" w:hAnsi="微软雅黑"/>
          <w:sz w:val="24"/>
          <w:szCs w:val="24"/>
        </w:rPr>
      </w:pPr>
    </w:p>
    <w:p w:rsidR="00643AC9" w:rsidRDefault="000025B9">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5、基金财产清算报告的告知安排</w:t>
      </w:r>
    </w:p>
    <w:p w:rsidR="00643AC9" w:rsidRDefault="000025B9">
      <w:pPr>
        <w:autoSpaceDE w:val="0"/>
        <w:autoSpaceDN w:val="0"/>
        <w:adjustRightInd w:val="0"/>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本清算报告已经基金托管人复核，在经会计师事务所审计、律师事务所出具法律意见书后，报中国证监会备案并向基金份额持有人公告。</w:t>
      </w:r>
    </w:p>
    <w:p w:rsidR="00643AC9" w:rsidRDefault="00643AC9">
      <w:pPr>
        <w:widowControl/>
        <w:shd w:val="clear" w:color="auto" w:fill="FFFFFF"/>
        <w:spacing w:before="555" w:after="150"/>
        <w:outlineLvl w:val="3"/>
        <w:rPr>
          <w:rFonts w:ascii="微软雅黑" w:eastAsia="微软雅黑" w:hAnsi="微软雅黑" w:cs="宋体"/>
          <w:b/>
          <w:bCs/>
          <w:color w:val="333333"/>
          <w:kern w:val="0"/>
          <w:sz w:val="24"/>
          <w:szCs w:val="24"/>
        </w:rPr>
      </w:pPr>
    </w:p>
    <w:p w:rsidR="00643AC9" w:rsidRDefault="000025B9">
      <w:pPr>
        <w:widowControl/>
        <w:shd w:val="clear" w:color="auto" w:fill="FFFFFF"/>
        <w:spacing w:before="555" w:after="150"/>
        <w:jc w:val="center"/>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六、备查文件</w:t>
      </w:r>
    </w:p>
    <w:p w:rsidR="00643AC9" w:rsidRDefault="000025B9">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1、备查文件目录</w:t>
      </w:r>
    </w:p>
    <w:p w:rsidR="00643AC9" w:rsidRDefault="000025B9">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（1）申万菱信价值优利混合型证券投资基金资产负债表及审计报告</w:t>
      </w:r>
    </w:p>
    <w:p w:rsidR="00643AC9" w:rsidRDefault="000025B9">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（2）关于《申万菱信价值优利混合型证券投资基金清算报告》的法律意见书</w:t>
      </w:r>
    </w:p>
    <w:p w:rsidR="00643AC9" w:rsidRDefault="000025B9">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2、存放地点</w:t>
      </w:r>
    </w:p>
    <w:p w:rsidR="00643AC9" w:rsidRDefault="000025B9">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基金管理人的办公场所。</w:t>
      </w:r>
    </w:p>
    <w:p w:rsidR="00643AC9" w:rsidRDefault="000025B9">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3、查阅方式</w:t>
      </w:r>
    </w:p>
    <w:p w:rsidR="00643AC9" w:rsidRDefault="000025B9">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投资者可在营业时间内至基金管理人的办公场所免费查阅。</w:t>
      </w:r>
    </w:p>
    <w:p w:rsidR="00643AC9" w:rsidRDefault="00643AC9">
      <w:pPr>
        <w:autoSpaceDE w:val="0"/>
        <w:autoSpaceDN w:val="0"/>
        <w:adjustRightInd w:val="0"/>
        <w:spacing w:line="360" w:lineRule="auto"/>
        <w:rPr>
          <w:rFonts w:ascii="微软雅黑" w:eastAsia="微软雅黑" w:hAnsi="微软雅黑"/>
          <w:sz w:val="24"/>
          <w:szCs w:val="24"/>
        </w:rPr>
      </w:pPr>
    </w:p>
    <w:p w:rsidR="00643AC9" w:rsidRDefault="000025B9">
      <w:pPr>
        <w:autoSpaceDE w:val="0"/>
        <w:autoSpaceDN w:val="0"/>
        <w:adjustRightInd w:val="0"/>
        <w:spacing w:line="360" w:lineRule="auto"/>
        <w:jc w:val="right"/>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sz w:val="24"/>
          <w:szCs w:val="24"/>
        </w:rPr>
        <w:t xml:space="preserve"> </w:t>
      </w:r>
      <w:r>
        <w:rPr>
          <w:rFonts w:ascii="微软雅黑" w:eastAsia="微软雅黑" w:hAnsi="微软雅黑" w:hint="eastAsia"/>
          <w:sz w:val="24"/>
          <w:szCs w:val="24"/>
        </w:rPr>
        <w:t>申万菱信价值优利混合型证券投资基金</w:t>
      </w:r>
    </w:p>
    <w:p w:rsidR="00643AC9" w:rsidRDefault="000025B9">
      <w:pPr>
        <w:autoSpaceDE w:val="0"/>
        <w:autoSpaceDN w:val="0"/>
        <w:adjustRightInd w:val="0"/>
        <w:spacing w:line="360" w:lineRule="auto"/>
        <w:jc w:val="right"/>
        <w:rPr>
          <w:rFonts w:ascii="微软雅黑" w:eastAsia="微软雅黑" w:hAnsi="微软雅黑"/>
          <w:sz w:val="24"/>
          <w:szCs w:val="24"/>
        </w:rPr>
      </w:pPr>
      <w:r>
        <w:rPr>
          <w:rFonts w:ascii="微软雅黑" w:eastAsia="微软雅黑" w:hAnsi="微软雅黑" w:hint="eastAsia"/>
          <w:sz w:val="24"/>
          <w:szCs w:val="24"/>
        </w:rPr>
        <w:t>基金财产清算小组</w:t>
      </w:r>
    </w:p>
    <w:p w:rsidR="00643AC9" w:rsidRDefault="000025B9">
      <w:pPr>
        <w:widowControl/>
        <w:spacing w:line="360" w:lineRule="auto"/>
        <w:ind w:firstLineChars="1700" w:firstLine="4080"/>
        <w:jc w:val="right"/>
        <w:rPr>
          <w:rFonts w:ascii="微软雅黑" w:eastAsia="微软雅黑" w:hAnsi="微软雅黑"/>
          <w:sz w:val="24"/>
          <w:szCs w:val="24"/>
        </w:rPr>
      </w:pPr>
      <w:r>
        <w:rPr>
          <w:rFonts w:ascii="微软雅黑" w:eastAsia="微软雅黑" w:hAnsi="微软雅黑" w:cs="宋体" w:hint="eastAsia"/>
          <w:color w:val="000000"/>
          <w:sz w:val="24"/>
          <w:szCs w:val="24"/>
        </w:rPr>
        <w:t>202</w:t>
      </w:r>
      <w:r>
        <w:rPr>
          <w:rFonts w:ascii="微软雅黑" w:eastAsia="微软雅黑" w:hAnsi="微软雅黑" w:cs="宋体"/>
          <w:color w:val="000000"/>
          <w:sz w:val="24"/>
          <w:szCs w:val="24"/>
        </w:rPr>
        <w:t>3</w:t>
      </w:r>
      <w:r>
        <w:rPr>
          <w:rFonts w:ascii="微软雅黑" w:eastAsia="微软雅黑" w:hAnsi="微软雅黑" w:cs="宋体" w:hint="eastAsia"/>
          <w:color w:val="000000"/>
          <w:sz w:val="24"/>
          <w:szCs w:val="24"/>
        </w:rPr>
        <w:t>年</w:t>
      </w:r>
      <w:r>
        <w:rPr>
          <w:rFonts w:ascii="微软雅黑" w:eastAsia="微软雅黑" w:hAnsi="微软雅黑" w:cs="宋体"/>
          <w:color w:val="000000"/>
          <w:sz w:val="24"/>
          <w:szCs w:val="24"/>
        </w:rPr>
        <w:t>2</w:t>
      </w:r>
      <w:r>
        <w:rPr>
          <w:rFonts w:ascii="微软雅黑" w:eastAsia="微软雅黑" w:hAnsi="微软雅黑" w:cs="宋体" w:hint="eastAsia"/>
          <w:color w:val="000000"/>
          <w:sz w:val="24"/>
          <w:szCs w:val="24"/>
        </w:rPr>
        <w:t>月</w:t>
      </w:r>
      <w:r>
        <w:rPr>
          <w:rFonts w:ascii="微软雅黑" w:eastAsia="微软雅黑" w:hAnsi="微软雅黑" w:cs="宋体"/>
          <w:color w:val="000000"/>
          <w:sz w:val="24"/>
          <w:szCs w:val="24"/>
        </w:rPr>
        <w:t>9</w:t>
      </w:r>
      <w:r>
        <w:rPr>
          <w:rFonts w:ascii="微软雅黑" w:eastAsia="微软雅黑" w:hAnsi="微软雅黑" w:cs="宋体" w:hint="eastAsia"/>
          <w:color w:val="000000"/>
          <w:sz w:val="24"/>
          <w:szCs w:val="24"/>
        </w:rPr>
        <w:t>日</w:t>
      </w:r>
      <w:r>
        <w:rPr>
          <w:rFonts w:ascii="微软雅黑" w:eastAsia="微软雅黑" w:hAnsi="微软雅黑" w:cs="宋体" w:hint="eastAsia"/>
          <w:sz w:val="24"/>
          <w:szCs w:val="24"/>
        </w:rPr>
        <w:t xml:space="preserve"> </w:t>
      </w:r>
    </w:p>
    <w:p w:rsidR="00643AC9" w:rsidRDefault="00643AC9">
      <w:pPr>
        <w:widowControl/>
        <w:shd w:val="clear" w:color="auto" w:fill="FFFFFF"/>
        <w:spacing w:before="540"/>
        <w:jc w:val="left"/>
        <w:outlineLvl w:val="4"/>
      </w:pPr>
    </w:p>
    <w:sectPr w:rsidR="00643AC9" w:rsidSect="006E6B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C9" w:rsidRDefault="00643AC9"/>
  </w:endnote>
  <w:endnote w:type="continuationSeparator" w:id="0">
    <w:p w:rsidR="00643AC9" w:rsidRDefault="00643AC9"/>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C9" w:rsidRDefault="00643AC9"/>
  </w:footnote>
  <w:footnote w:type="continuationSeparator" w:id="0">
    <w:p w:rsidR="00643AC9" w:rsidRDefault="00643AC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653E"/>
    <w:rsid w:val="000025B9"/>
    <w:rsid w:val="000065E9"/>
    <w:rsid w:val="00010276"/>
    <w:rsid w:val="000106C2"/>
    <w:rsid w:val="00012571"/>
    <w:rsid w:val="00094B5B"/>
    <w:rsid w:val="000B1F2B"/>
    <w:rsid w:val="000B3940"/>
    <w:rsid w:val="00100C30"/>
    <w:rsid w:val="00115DD7"/>
    <w:rsid w:val="00160D77"/>
    <w:rsid w:val="0017471F"/>
    <w:rsid w:val="00182BE8"/>
    <w:rsid w:val="001A00B8"/>
    <w:rsid w:val="001F1B71"/>
    <w:rsid w:val="001F20FF"/>
    <w:rsid w:val="00216A2D"/>
    <w:rsid w:val="00231D23"/>
    <w:rsid w:val="00256501"/>
    <w:rsid w:val="002F3F9A"/>
    <w:rsid w:val="003938B6"/>
    <w:rsid w:val="003F7D3D"/>
    <w:rsid w:val="0040741D"/>
    <w:rsid w:val="004237EB"/>
    <w:rsid w:val="00447EC3"/>
    <w:rsid w:val="004502FE"/>
    <w:rsid w:val="00453B4E"/>
    <w:rsid w:val="0045409B"/>
    <w:rsid w:val="0046124D"/>
    <w:rsid w:val="0046240C"/>
    <w:rsid w:val="00483AAC"/>
    <w:rsid w:val="004A28AC"/>
    <w:rsid w:val="004B66A0"/>
    <w:rsid w:val="004B71F7"/>
    <w:rsid w:val="004E76AB"/>
    <w:rsid w:val="005021BA"/>
    <w:rsid w:val="0053653E"/>
    <w:rsid w:val="00545273"/>
    <w:rsid w:val="005639E4"/>
    <w:rsid w:val="00573C16"/>
    <w:rsid w:val="005C6FE4"/>
    <w:rsid w:val="005D21E8"/>
    <w:rsid w:val="005E4FC4"/>
    <w:rsid w:val="005E54D3"/>
    <w:rsid w:val="00637AED"/>
    <w:rsid w:val="00643AC9"/>
    <w:rsid w:val="00645769"/>
    <w:rsid w:val="00657BB0"/>
    <w:rsid w:val="00670559"/>
    <w:rsid w:val="006B35F8"/>
    <w:rsid w:val="006D6E02"/>
    <w:rsid w:val="006E6BCE"/>
    <w:rsid w:val="00700D6E"/>
    <w:rsid w:val="007033EB"/>
    <w:rsid w:val="00763026"/>
    <w:rsid w:val="007A767F"/>
    <w:rsid w:val="007B04B9"/>
    <w:rsid w:val="007D1115"/>
    <w:rsid w:val="007E2802"/>
    <w:rsid w:val="007E5D4A"/>
    <w:rsid w:val="007F7123"/>
    <w:rsid w:val="008126D5"/>
    <w:rsid w:val="00882A2D"/>
    <w:rsid w:val="008A2C03"/>
    <w:rsid w:val="008D6F84"/>
    <w:rsid w:val="008F0E4D"/>
    <w:rsid w:val="00920592"/>
    <w:rsid w:val="00922398"/>
    <w:rsid w:val="009354E4"/>
    <w:rsid w:val="00943808"/>
    <w:rsid w:val="00960AF5"/>
    <w:rsid w:val="00964C28"/>
    <w:rsid w:val="00966DC6"/>
    <w:rsid w:val="00992ECF"/>
    <w:rsid w:val="0099637D"/>
    <w:rsid w:val="009D5EA4"/>
    <w:rsid w:val="009F4B96"/>
    <w:rsid w:val="00A61934"/>
    <w:rsid w:val="00A61C55"/>
    <w:rsid w:val="00A64C74"/>
    <w:rsid w:val="00A700CE"/>
    <w:rsid w:val="00A71ABA"/>
    <w:rsid w:val="00A85FCC"/>
    <w:rsid w:val="00A864EC"/>
    <w:rsid w:val="00AA4894"/>
    <w:rsid w:val="00AF6A7D"/>
    <w:rsid w:val="00B00BFE"/>
    <w:rsid w:val="00B41AD2"/>
    <w:rsid w:val="00B61E20"/>
    <w:rsid w:val="00BA4EC9"/>
    <w:rsid w:val="00BB24A1"/>
    <w:rsid w:val="00BD3168"/>
    <w:rsid w:val="00BE1558"/>
    <w:rsid w:val="00BE4E11"/>
    <w:rsid w:val="00BF271F"/>
    <w:rsid w:val="00BF2971"/>
    <w:rsid w:val="00BF3055"/>
    <w:rsid w:val="00BF382E"/>
    <w:rsid w:val="00C87CDA"/>
    <w:rsid w:val="00C90543"/>
    <w:rsid w:val="00C915A7"/>
    <w:rsid w:val="00C93A7F"/>
    <w:rsid w:val="00CF65CA"/>
    <w:rsid w:val="00D26A12"/>
    <w:rsid w:val="00D57CD0"/>
    <w:rsid w:val="00D673C7"/>
    <w:rsid w:val="00DB2802"/>
    <w:rsid w:val="00DE602C"/>
    <w:rsid w:val="00DE6209"/>
    <w:rsid w:val="00E51E67"/>
    <w:rsid w:val="00EB412A"/>
    <w:rsid w:val="00ED6CC7"/>
    <w:rsid w:val="00EF422E"/>
    <w:rsid w:val="00F05C3E"/>
    <w:rsid w:val="00F42D7E"/>
    <w:rsid w:val="00F517E1"/>
    <w:rsid w:val="00F86A77"/>
    <w:rsid w:val="00FC2508"/>
    <w:rsid w:val="00FE7BC5"/>
    <w:rsid w:val="00FF057C"/>
    <w:rsid w:val="786B2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BCE"/>
    <w:pPr>
      <w:widowControl w:val="0"/>
      <w:jc w:val="both"/>
    </w:pPr>
    <w:rPr>
      <w:kern w:val="2"/>
      <w:sz w:val="21"/>
      <w:szCs w:val="22"/>
    </w:rPr>
  </w:style>
  <w:style w:type="paragraph" w:styleId="4">
    <w:name w:val="heading 4"/>
    <w:basedOn w:val="a"/>
    <w:next w:val="a"/>
    <w:link w:val="4Char"/>
    <w:uiPriority w:val="9"/>
    <w:qFormat/>
    <w:rsid w:val="006E6BCE"/>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qFormat/>
    <w:rsid w:val="006E6BC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E6BCE"/>
    <w:pPr>
      <w:jc w:val="left"/>
    </w:pPr>
    <w:rPr>
      <w:rFonts w:ascii="Calibri" w:eastAsia="宋体" w:hAnsi="Calibri" w:cs="Times New Roman"/>
    </w:rPr>
  </w:style>
  <w:style w:type="paragraph" w:styleId="a4">
    <w:name w:val="Balloon Text"/>
    <w:basedOn w:val="a"/>
    <w:link w:val="Char0"/>
    <w:uiPriority w:val="99"/>
    <w:semiHidden/>
    <w:unhideWhenUsed/>
    <w:rsid w:val="006E6BCE"/>
    <w:rPr>
      <w:sz w:val="18"/>
      <w:szCs w:val="18"/>
    </w:rPr>
  </w:style>
  <w:style w:type="paragraph" w:styleId="a5">
    <w:name w:val="Normal (Web)"/>
    <w:basedOn w:val="a"/>
    <w:uiPriority w:val="99"/>
    <w:unhideWhenUsed/>
    <w:rsid w:val="006E6BCE"/>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uiPriority w:val="99"/>
    <w:semiHidden/>
    <w:unhideWhenUsed/>
    <w:rsid w:val="006E6BCE"/>
    <w:rPr>
      <w:sz w:val="21"/>
      <w:szCs w:val="21"/>
    </w:rPr>
  </w:style>
  <w:style w:type="character" w:customStyle="1" w:styleId="4Char">
    <w:name w:val="标题 4 Char"/>
    <w:basedOn w:val="a0"/>
    <w:link w:val="4"/>
    <w:uiPriority w:val="9"/>
    <w:rsid w:val="006E6BCE"/>
    <w:rPr>
      <w:rFonts w:ascii="宋体" w:eastAsia="宋体" w:hAnsi="宋体" w:cs="宋体"/>
      <w:b/>
      <w:bCs/>
      <w:kern w:val="0"/>
      <w:sz w:val="24"/>
      <w:szCs w:val="24"/>
    </w:rPr>
  </w:style>
  <w:style w:type="character" w:customStyle="1" w:styleId="5Char">
    <w:name w:val="标题 5 Char"/>
    <w:basedOn w:val="a0"/>
    <w:link w:val="5"/>
    <w:uiPriority w:val="9"/>
    <w:rsid w:val="006E6BCE"/>
    <w:rPr>
      <w:rFonts w:ascii="宋体" w:eastAsia="宋体" w:hAnsi="宋体" w:cs="宋体"/>
      <w:b/>
      <w:bCs/>
      <w:kern w:val="0"/>
      <w:sz w:val="20"/>
      <w:szCs w:val="20"/>
    </w:rPr>
  </w:style>
  <w:style w:type="paragraph" w:styleId="a7">
    <w:name w:val="List Paragraph"/>
    <w:basedOn w:val="a"/>
    <w:uiPriority w:val="34"/>
    <w:qFormat/>
    <w:rsid w:val="006E6BCE"/>
    <w:pPr>
      <w:ind w:firstLineChars="200" w:firstLine="420"/>
    </w:pPr>
  </w:style>
  <w:style w:type="character" w:customStyle="1" w:styleId="Char">
    <w:name w:val="批注文字 Char"/>
    <w:basedOn w:val="a0"/>
    <w:link w:val="a3"/>
    <w:uiPriority w:val="99"/>
    <w:semiHidden/>
    <w:rsid w:val="006E6BCE"/>
    <w:rPr>
      <w:rFonts w:ascii="Calibri" w:eastAsia="宋体" w:hAnsi="Calibri" w:cs="Times New Roman"/>
    </w:rPr>
  </w:style>
  <w:style w:type="character" w:customStyle="1" w:styleId="Char0">
    <w:name w:val="批注框文本 Char"/>
    <w:basedOn w:val="a0"/>
    <w:link w:val="a4"/>
    <w:uiPriority w:val="99"/>
    <w:semiHidden/>
    <w:rsid w:val="006E6BC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Office Word</Application>
  <DocSecurity>4</DocSecurity>
  <Lines>29</Lines>
  <Paragraphs>8</Paragraphs>
  <ScaleCrop>false</ScaleCrop>
  <Company>Microsoft</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2023-02-08T16:01:00Z</dcterms:created>
  <dcterms:modified xsi:type="dcterms:W3CDTF">2023-02-08T16:01:00Z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EBF042A34E8847C79B24EA0EB644AAEC</vt:lpwstr>
  </property>
</Properties>
</file>