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E0C" w:rsidRDefault="00F92E52">
      <w:pPr>
        <w:widowControl/>
        <w:jc w:val="center"/>
        <w:rPr>
          <w:rFonts w:ascii="黑体" w:eastAsia="黑体" w:hAnsi="黑体" w:cs="黑体"/>
          <w:bCs/>
          <w:kern w:val="0"/>
          <w:sz w:val="30"/>
          <w:szCs w:val="30"/>
        </w:rPr>
      </w:pPr>
      <w:r>
        <w:rPr>
          <w:rFonts w:ascii="黑体" w:eastAsia="黑体" w:hAnsi="黑体" w:cs="黑体" w:hint="eastAsia"/>
          <w:bCs/>
          <w:kern w:val="0"/>
          <w:sz w:val="30"/>
          <w:szCs w:val="30"/>
        </w:rPr>
        <w:t>申万菱信基金管理有限公司</w:t>
      </w:r>
    </w:p>
    <w:p w:rsidR="00357E0C" w:rsidRDefault="00F92E52">
      <w:pPr>
        <w:widowControl/>
        <w:jc w:val="center"/>
        <w:rPr>
          <w:rFonts w:ascii="黑体" w:eastAsia="黑体" w:hAnsi="黑体" w:cs="黑体"/>
          <w:bCs/>
          <w:kern w:val="0"/>
          <w:sz w:val="30"/>
          <w:szCs w:val="30"/>
        </w:rPr>
      </w:pPr>
      <w:r>
        <w:rPr>
          <w:rFonts w:ascii="黑体" w:eastAsia="黑体" w:hAnsi="黑体" w:cs="黑体" w:hint="eastAsia"/>
          <w:bCs/>
          <w:kern w:val="0"/>
          <w:sz w:val="30"/>
          <w:szCs w:val="30"/>
        </w:rPr>
        <w:t>关于申万菱信宜选混合型证券投资基金暂停申购、转换转入及定期定额投资的公告</w:t>
      </w:r>
    </w:p>
    <w:p w:rsidR="00357E0C" w:rsidRDefault="00F92E52">
      <w:pPr>
        <w:spacing w:line="560" w:lineRule="exact"/>
        <w:jc w:val="center"/>
        <w:rPr>
          <w:rFonts w:asciiTheme="minorEastAsia" w:eastAsiaTheme="minorEastAsia" w:hAnsiTheme="minorEastAsia" w:cs="宋体"/>
          <w:bCs/>
          <w:sz w:val="24"/>
          <w:szCs w:val="24"/>
        </w:rPr>
      </w:pPr>
      <w:r>
        <w:rPr>
          <w:rFonts w:asciiTheme="minorEastAsia" w:eastAsiaTheme="minorEastAsia" w:hAnsiTheme="minorEastAsia"/>
          <w:color w:val="000000"/>
          <w:sz w:val="24"/>
          <w:szCs w:val="24"/>
        </w:rPr>
        <w:t>公告送出日期：</w:t>
      </w:r>
      <w:r>
        <w:rPr>
          <w:rFonts w:asciiTheme="minorEastAsia" w:eastAsiaTheme="minorEastAsia" w:hAnsiTheme="minorEastAsia" w:cs="宋体"/>
          <w:bCs/>
          <w:sz w:val="24"/>
          <w:szCs w:val="24"/>
        </w:rPr>
        <w:t>2023</w:t>
      </w:r>
      <w:r>
        <w:rPr>
          <w:rFonts w:asciiTheme="minorEastAsia" w:eastAsiaTheme="minorEastAsia" w:hAnsiTheme="minorEastAsia" w:cs="宋体"/>
          <w:bCs/>
          <w:sz w:val="24"/>
          <w:szCs w:val="24"/>
        </w:rPr>
        <w:t>年</w:t>
      </w:r>
      <w:r>
        <w:rPr>
          <w:rFonts w:asciiTheme="minorEastAsia" w:eastAsiaTheme="minorEastAsia" w:hAnsiTheme="minorEastAsia" w:cs="宋体"/>
          <w:bCs/>
          <w:sz w:val="24"/>
          <w:szCs w:val="24"/>
        </w:rPr>
        <w:t>2</w:t>
      </w:r>
      <w:r>
        <w:rPr>
          <w:rFonts w:asciiTheme="minorEastAsia" w:eastAsiaTheme="minorEastAsia" w:hAnsiTheme="minorEastAsia" w:cs="宋体"/>
          <w:bCs/>
          <w:sz w:val="24"/>
          <w:szCs w:val="24"/>
        </w:rPr>
        <w:t>月</w:t>
      </w:r>
      <w:r>
        <w:rPr>
          <w:rFonts w:asciiTheme="minorEastAsia" w:eastAsiaTheme="minorEastAsia" w:hAnsiTheme="minorEastAsia" w:cs="宋体"/>
          <w:bCs/>
          <w:sz w:val="24"/>
          <w:szCs w:val="24"/>
        </w:rPr>
        <w:t>3</w:t>
      </w:r>
      <w:r>
        <w:rPr>
          <w:rFonts w:asciiTheme="minorEastAsia" w:eastAsiaTheme="minorEastAsia" w:hAnsiTheme="minorEastAsia" w:cs="宋体"/>
          <w:bCs/>
          <w:sz w:val="24"/>
          <w:szCs w:val="24"/>
        </w:rPr>
        <w:t>日</w:t>
      </w:r>
    </w:p>
    <w:p w:rsidR="00357E0C" w:rsidRDefault="00F92E52">
      <w:pPr>
        <w:pStyle w:val="2"/>
        <w:spacing w:line="560" w:lineRule="exact"/>
        <w:rPr>
          <w:rFonts w:asciiTheme="minorEastAsia" w:eastAsiaTheme="minorEastAsia" w:hAnsiTheme="minorEastAsia"/>
          <w:bCs w:val="0"/>
          <w:color w:val="000000"/>
          <w:sz w:val="24"/>
          <w:szCs w:val="24"/>
        </w:rPr>
      </w:pPr>
      <w:bookmarkStart w:id="0" w:name="_Toc275961405"/>
      <w:r>
        <w:rPr>
          <w:rFonts w:asciiTheme="minorEastAsia" w:eastAsiaTheme="minorEastAsia" w:hAnsiTheme="minorEastAsia"/>
          <w:bCs w:val="0"/>
          <w:color w:val="000000"/>
          <w:sz w:val="24"/>
          <w:szCs w:val="24"/>
        </w:rPr>
        <w:t xml:space="preserve">1 </w:t>
      </w:r>
      <w:r>
        <w:rPr>
          <w:rFonts w:asciiTheme="minorEastAsia" w:eastAsiaTheme="minorEastAsia" w:hAnsiTheme="minorEastAsia"/>
          <w:bCs w:val="0"/>
          <w:color w:val="000000"/>
          <w:sz w:val="24"/>
          <w:szCs w:val="24"/>
        </w:rPr>
        <w:t>公告基本信息</w:t>
      </w:r>
      <w:bookmarkEnd w:id="0"/>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0"/>
        <w:gridCol w:w="2609"/>
        <w:gridCol w:w="22"/>
        <w:gridCol w:w="3132"/>
        <w:gridCol w:w="36"/>
      </w:tblGrid>
      <w:tr w:rsidR="00357E0C">
        <w:trPr>
          <w:gridAfter w:val="1"/>
          <w:wAfter w:w="21" w:type="pct"/>
          <w:jc w:val="center"/>
        </w:trPr>
        <w:tc>
          <w:tcPr>
            <w:tcW w:w="1596" w:type="pct"/>
          </w:tcPr>
          <w:p w:rsidR="00357E0C" w:rsidRDefault="00F92E52">
            <w:pPr>
              <w:spacing w:line="560" w:lineRule="exact"/>
              <w:rPr>
                <w:rFonts w:asciiTheme="minorEastAsia" w:eastAsiaTheme="minorEastAsia" w:hAnsiTheme="minorEastAsia"/>
                <w:color w:val="000000"/>
                <w:sz w:val="24"/>
                <w:szCs w:val="24"/>
                <w:highlight w:val="cyan"/>
              </w:rPr>
            </w:pPr>
            <w:r>
              <w:rPr>
                <w:rFonts w:asciiTheme="minorEastAsia" w:eastAsiaTheme="minorEastAsia" w:hAnsiTheme="minorEastAsia"/>
                <w:color w:val="000000"/>
                <w:sz w:val="24"/>
                <w:szCs w:val="24"/>
              </w:rPr>
              <w:t>基金名称</w:t>
            </w:r>
          </w:p>
        </w:tc>
        <w:tc>
          <w:tcPr>
            <w:tcW w:w="3382" w:type="pct"/>
            <w:gridSpan w:val="3"/>
            <w:vAlign w:val="center"/>
          </w:tcPr>
          <w:p w:rsidR="00357E0C" w:rsidRDefault="00F92E52">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申万菱信宜选混合型证券投资基金</w:t>
            </w:r>
          </w:p>
        </w:tc>
      </w:tr>
      <w:tr w:rsidR="00357E0C">
        <w:trPr>
          <w:gridAfter w:val="1"/>
          <w:wAfter w:w="21" w:type="pct"/>
          <w:jc w:val="center"/>
        </w:trPr>
        <w:tc>
          <w:tcPr>
            <w:tcW w:w="1596" w:type="pct"/>
          </w:tcPr>
          <w:p w:rsidR="00357E0C" w:rsidRDefault="00F92E52">
            <w:pPr>
              <w:spacing w:line="560" w:lineRule="exact"/>
              <w:rPr>
                <w:rFonts w:asciiTheme="minorEastAsia" w:eastAsiaTheme="minorEastAsia" w:hAnsiTheme="minorEastAsia"/>
                <w:color w:val="000000"/>
                <w:kern w:val="0"/>
                <w:sz w:val="24"/>
                <w:szCs w:val="24"/>
              </w:rPr>
            </w:pPr>
            <w:r>
              <w:rPr>
                <w:rFonts w:asciiTheme="minorEastAsia" w:eastAsiaTheme="minorEastAsia" w:hAnsiTheme="minorEastAsia"/>
                <w:color w:val="000000"/>
                <w:sz w:val="24"/>
                <w:szCs w:val="24"/>
              </w:rPr>
              <w:t>基金简称</w:t>
            </w:r>
          </w:p>
        </w:tc>
        <w:tc>
          <w:tcPr>
            <w:tcW w:w="3382" w:type="pct"/>
            <w:gridSpan w:val="3"/>
            <w:vAlign w:val="center"/>
          </w:tcPr>
          <w:p w:rsidR="00357E0C" w:rsidRDefault="00F92E52">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申万菱信宜选混合</w:t>
            </w:r>
          </w:p>
        </w:tc>
      </w:tr>
      <w:tr w:rsidR="00357E0C">
        <w:trPr>
          <w:gridAfter w:val="1"/>
          <w:wAfter w:w="21" w:type="pct"/>
          <w:jc w:val="center"/>
        </w:trPr>
        <w:tc>
          <w:tcPr>
            <w:tcW w:w="1596" w:type="pct"/>
            <w:vAlign w:val="center"/>
          </w:tcPr>
          <w:p w:rsidR="00357E0C" w:rsidRDefault="00F92E52">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基金主代码</w:t>
            </w:r>
          </w:p>
        </w:tc>
        <w:tc>
          <w:tcPr>
            <w:tcW w:w="3382" w:type="pct"/>
            <w:gridSpan w:val="3"/>
            <w:vAlign w:val="center"/>
          </w:tcPr>
          <w:p w:rsidR="00357E0C" w:rsidRDefault="00F92E52">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011484</w:t>
            </w:r>
          </w:p>
        </w:tc>
      </w:tr>
      <w:tr w:rsidR="00357E0C">
        <w:trPr>
          <w:gridAfter w:val="1"/>
          <w:wAfter w:w="21" w:type="pct"/>
          <w:jc w:val="center"/>
        </w:trPr>
        <w:tc>
          <w:tcPr>
            <w:tcW w:w="1596" w:type="pct"/>
          </w:tcPr>
          <w:p w:rsidR="00357E0C" w:rsidRDefault="00F92E52">
            <w:pPr>
              <w:spacing w:line="560" w:lineRule="exact"/>
              <w:rPr>
                <w:rFonts w:asciiTheme="minorEastAsia" w:eastAsiaTheme="minorEastAsia" w:hAnsiTheme="minorEastAsia"/>
                <w:color w:val="000000"/>
                <w:kern w:val="0"/>
                <w:sz w:val="24"/>
                <w:szCs w:val="24"/>
              </w:rPr>
            </w:pPr>
            <w:r>
              <w:rPr>
                <w:rFonts w:asciiTheme="minorEastAsia" w:eastAsiaTheme="minorEastAsia" w:hAnsiTheme="minorEastAsia"/>
                <w:color w:val="000000"/>
                <w:sz w:val="24"/>
                <w:szCs w:val="24"/>
              </w:rPr>
              <w:t>基金管理人名称</w:t>
            </w:r>
          </w:p>
        </w:tc>
        <w:tc>
          <w:tcPr>
            <w:tcW w:w="3382" w:type="pct"/>
            <w:gridSpan w:val="3"/>
            <w:vAlign w:val="center"/>
          </w:tcPr>
          <w:p w:rsidR="00357E0C" w:rsidRDefault="00F92E52">
            <w:pPr>
              <w:rPr>
                <w:rFonts w:asciiTheme="minorEastAsia" w:eastAsiaTheme="minorEastAsia" w:hAnsiTheme="minorEastAsia"/>
                <w:sz w:val="24"/>
                <w:szCs w:val="24"/>
              </w:rPr>
            </w:pPr>
            <w:r>
              <w:rPr>
                <w:rFonts w:asciiTheme="minorEastAsia" w:eastAsiaTheme="minorEastAsia" w:hAnsiTheme="minorEastAsia"/>
                <w:sz w:val="24"/>
                <w:szCs w:val="24"/>
              </w:rPr>
              <w:t>申万菱信基金管理有限公司</w:t>
            </w:r>
          </w:p>
        </w:tc>
      </w:tr>
      <w:tr w:rsidR="00357E0C">
        <w:trPr>
          <w:gridAfter w:val="1"/>
          <w:wAfter w:w="21" w:type="pct"/>
          <w:jc w:val="center"/>
        </w:trPr>
        <w:tc>
          <w:tcPr>
            <w:tcW w:w="1596" w:type="pct"/>
          </w:tcPr>
          <w:p w:rsidR="00357E0C" w:rsidRDefault="00F92E52">
            <w:pPr>
              <w:spacing w:line="560" w:lineRule="exact"/>
              <w:rPr>
                <w:rFonts w:asciiTheme="minorEastAsia" w:eastAsiaTheme="minorEastAsia" w:hAnsiTheme="minorEastAsia"/>
                <w:color w:val="000000"/>
                <w:kern w:val="0"/>
                <w:sz w:val="24"/>
                <w:szCs w:val="24"/>
              </w:rPr>
            </w:pPr>
            <w:r>
              <w:rPr>
                <w:rFonts w:asciiTheme="minorEastAsia" w:eastAsiaTheme="minorEastAsia" w:hAnsiTheme="minorEastAsia"/>
                <w:color w:val="000000"/>
                <w:sz w:val="24"/>
                <w:szCs w:val="24"/>
              </w:rPr>
              <w:t>公告依据</w:t>
            </w:r>
          </w:p>
        </w:tc>
        <w:tc>
          <w:tcPr>
            <w:tcW w:w="3382" w:type="pct"/>
            <w:gridSpan w:val="3"/>
            <w:vAlign w:val="center"/>
          </w:tcPr>
          <w:p w:rsidR="00357E0C" w:rsidRDefault="00F92E52">
            <w:pPr>
              <w:rPr>
                <w:rFonts w:asciiTheme="minorEastAsia" w:eastAsiaTheme="minorEastAsia" w:hAnsiTheme="minorEastAsia"/>
                <w:sz w:val="24"/>
                <w:szCs w:val="24"/>
              </w:rPr>
            </w:pPr>
            <w:r>
              <w:rPr>
                <w:rFonts w:asciiTheme="minorEastAsia" w:eastAsiaTheme="minorEastAsia" w:hAnsiTheme="minorEastAsia"/>
                <w:sz w:val="24"/>
                <w:szCs w:val="24"/>
              </w:rPr>
              <w:t>《公开募集证券投资基金信息披露管理办法》、《公开募集证券投资基金运作管理办法》、《申万菱信宜选混合型证券投资基金基金合同》、《申万菱信宜选混合型证券投资基金招募说明书》</w:t>
            </w:r>
          </w:p>
        </w:tc>
      </w:tr>
      <w:tr w:rsidR="00357E0C">
        <w:trPr>
          <w:gridAfter w:val="1"/>
          <w:wAfter w:w="21" w:type="pct"/>
          <w:jc w:val="center"/>
        </w:trPr>
        <w:tc>
          <w:tcPr>
            <w:tcW w:w="1596" w:type="pct"/>
            <w:vMerge w:val="restart"/>
            <w:vAlign w:val="center"/>
          </w:tcPr>
          <w:p w:rsidR="00357E0C" w:rsidRDefault="00F92E52">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暂停相关业务的起始日、金额及原因说明</w:t>
            </w:r>
          </w:p>
        </w:tc>
        <w:tc>
          <w:tcPr>
            <w:tcW w:w="1531" w:type="pct"/>
          </w:tcPr>
          <w:p w:rsidR="00357E0C" w:rsidRDefault="00F92E52">
            <w:pPr>
              <w:spacing w:line="560" w:lineRule="exact"/>
              <w:rPr>
                <w:rFonts w:asciiTheme="minorEastAsia" w:eastAsiaTheme="minorEastAsia" w:hAnsiTheme="minorEastAsia"/>
                <w:color w:val="000000"/>
                <w:kern w:val="0"/>
                <w:sz w:val="24"/>
                <w:szCs w:val="24"/>
              </w:rPr>
            </w:pPr>
            <w:r>
              <w:rPr>
                <w:rFonts w:asciiTheme="minorEastAsia" w:eastAsiaTheme="minorEastAsia" w:hAnsiTheme="minorEastAsia"/>
                <w:color w:val="000000"/>
                <w:sz w:val="24"/>
                <w:szCs w:val="24"/>
              </w:rPr>
              <w:t>暂停申购起始日</w:t>
            </w:r>
          </w:p>
        </w:tc>
        <w:tc>
          <w:tcPr>
            <w:tcW w:w="1851" w:type="pct"/>
            <w:gridSpan w:val="2"/>
            <w:vAlign w:val="center"/>
          </w:tcPr>
          <w:p w:rsidR="00357E0C" w:rsidRDefault="00F92E52">
            <w:pPr>
              <w:rPr>
                <w:rFonts w:asciiTheme="minorEastAsia" w:eastAsiaTheme="minorEastAsia" w:hAnsiTheme="minorEastAsia"/>
                <w:sz w:val="24"/>
                <w:szCs w:val="24"/>
              </w:rPr>
            </w:pPr>
            <w:r>
              <w:rPr>
                <w:rFonts w:asciiTheme="minorEastAsia" w:eastAsiaTheme="minorEastAsia" w:hAnsiTheme="minorEastAsia" w:hint="eastAsia"/>
                <w:sz w:val="24"/>
                <w:szCs w:val="24"/>
              </w:rPr>
              <w:t>2023</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日</w:t>
            </w:r>
          </w:p>
        </w:tc>
      </w:tr>
      <w:tr w:rsidR="00357E0C">
        <w:trPr>
          <w:gridAfter w:val="1"/>
          <w:wAfter w:w="21" w:type="pct"/>
          <w:jc w:val="center"/>
        </w:trPr>
        <w:tc>
          <w:tcPr>
            <w:tcW w:w="1596" w:type="pct"/>
            <w:vMerge/>
          </w:tcPr>
          <w:p w:rsidR="00357E0C" w:rsidRDefault="00357E0C">
            <w:pPr>
              <w:spacing w:line="560" w:lineRule="exact"/>
              <w:rPr>
                <w:rFonts w:asciiTheme="minorEastAsia" w:eastAsiaTheme="minorEastAsia" w:hAnsiTheme="minorEastAsia"/>
                <w:color w:val="000000"/>
                <w:sz w:val="24"/>
                <w:szCs w:val="24"/>
              </w:rPr>
            </w:pPr>
          </w:p>
        </w:tc>
        <w:tc>
          <w:tcPr>
            <w:tcW w:w="1531" w:type="pct"/>
          </w:tcPr>
          <w:p w:rsidR="00357E0C" w:rsidRDefault="00F92E52">
            <w:pPr>
              <w:spacing w:line="560" w:lineRule="exact"/>
              <w:rPr>
                <w:rFonts w:asciiTheme="minorEastAsia" w:eastAsiaTheme="minorEastAsia" w:hAnsiTheme="minorEastAsia"/>
                <w:color w:val="000000"/>
                <w:kern w:val="0"/>
                <w:sz w:val="24"/>
                <w:szCs w:val="24"/>
              </w:rPr>
            </w:pPr>
            <w:r>
              <w:rPr>
                <w:rFonts w:asciiTheme="minorEastAsia" w:eastAsiaTheme="minorEastAsia" w:hAnsiTheme="minorEastAsia"/>
                <w:color w:val="000000"/>
                <w:sz w:val="24"/>
                <w:szCs w:val="24"/>
              </w:rPr>
              <w:t>暂停转换转入起始日</w:t>
            </w:r>
          </w:p>
        </w:tc>
        <w:tc>
          <w:tcPr>
            <w:tcW w:w="1851" w:type="pct"/>
            <w:gridSpan w:val="2"/>
            <w:vAlign w:val="center"/>
          </w:tcPr>
          <w:p w:rsidR="00357E0C" w:rsidRDefault="00F92E52">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2023</w:t>
            </w:r>
            <w:r>
              <w:rPr>
                <w:rFonts w:asciiTheme="minorEastAsia" w:eastAsiaTheme="minorEastAsia" w:hAnsiTheme="minorEastAsia"/>
                <w:sz w:val="24"/>
                <w:szCs w:val="24"/>
              </w:rPr>
              <w:t>年</w:t>
            </w:r>
            <w:r>
              <w:rPr>
                <w:rFonts w:asciiTheme="minorEastAsia" w:eastAsiaTheme="minorEastAsia" w:hAnsiTheme="minorEastAsia"/>
                <w:sz w:val="24"/>
                <w:szCs w:val="24"/>
              </w:rPr>
              <w:t>2</w:t>
            </w:r>
            <w:r>
              <w:rPr>
                <w:rFonts w:asciiTheme="minorEastAsia" w:eastAsiaTheme="minorEastAsia" w:hAnsiTheme="minorEastAsia"/>
                <w:sz w:val="24"/>
                <w:szCs w:val="24"/>
              </w:rPr>
              <w:t>月</w:t>
            </w:r>
            <w:r>
              <w:rPr>
                <w:rFonts w:asciiTheme="minorEastAsia" w:eastAsiaTheme="minorEastAsia" w:hAnsiTheme="minorEastAsia"/>
                <w:sz w:val="24"/>
                <w:szCs w:val="24"/>
              </w:rPr>
              <w:t>3</w:t>
            </w:r>
            <w:r>
              <w:rPr>
                <w:rFonts w:asciiTheme="minorEastAsia" w:eastAsiaTheme="minorEastAsia" w:hAnsiTheme="minorEastAsia"/>
                <w:sz w:val="24"/>
                <w:szCs w:val="24"/>
              </w:rPr>
              <w:t>日</w:t>
            </w:r>
          </w:p>
        </w:tc>
      </w:tr>
      <w:tr w:rsidR="00357E0C">
        <w:trPr>
          <w:gridAfter w:val="1"/>
          <w:wAfter w:w="21" w:type="pct"/>
          <w:jc w:val="center"/>
        </w:trPr>
        <w:tc>
          <w:tcPr>
            <w:tcW w:w="1596" w:type="pct"/>
            <w:vMerge/>
          </w:tcPr>
          <w:p w:rsidR="00357E0C" w:rsidRDefault="00357E0C">
            <w:pPr>
              <w:spacing w:line="560" w:lineRule="exact"/>
              <w:rPr>
                <w:rFonts w:asciiTheme="minorEastAsia" w:eastAsiaTheme="minorEastAsia" w:hAnsiTheme="minorEastAsia"/>
                <w:color w:val="000000"/>
                <w:sz w:val="24"/>
                <w:szCs w:val="24"/>
              </w:rPr>
            </w:pPr>
          </w:p>
        </w:tc>
        <w:tc>
          <w:tcPr>
            <w:tcW w:w="1531" w:type="pct"/>
          </w:tcPr>
          <w:p w:rsidR="00357E0C" w:rsidRDefault="00F92E52">
            <w:pPr>
              <w:spacing w:line="560" w:lineRule="exact"/>
              <w:rPr>
                <w:rFonts w:asciiTheme="minorEastAsia" w:eastAsiaTheme="minorEastAsia" w:hAnsiTheme="minorEastAsia"/>
                <w:color w:val="000000"/>
                <w:kern w:val="0"/>
                <w:sz w:val="24"/>
                <w:szCs w:val="24"/>
              </w:rPr>
            </w:pPr>
            <w:r>
              <w:rPr>
                <w:rFonts w:asciiTheme="minorEastAsia" w:eastAsiaTheme="minorEastAsia" w:hAnsiTheme="minorEastAsia"/>
                <w:color w:val="000000"/>
                <w:sz w:val="24"/>
                <w:szCs w:val="24"/>
              </w:rPr>
              <w:t>暂停定期定额投资起始日</w:t>
            </w:r>
          </w:p>
        </w:tc>
        <w:tc>
          <w:tcPr>
            <w:tcW w:w="1851" w:type="pct"/>
            <w:gridSpan w:val="2"/>
            <w:vAlign w:val="center"/>
          </w:tcPr>
          <w:p w:rsidR="00357E0C" w:rsidRDefault="00F92E52">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2023</w:t>
            </w:r>
            <w:r>
              <w:rPr>
                <w:rFonts w:asciiTheme="minorEastAsia" w:eastAsiaTheme="minorEastAsia" w:hAnsiTheme="minorEastAsia"/>
                <w:sz w:val="24"/>
                <w:szCs w:val="24"/>
              </w:rPr>
              <w:t>年</w:t>
            </w:r>
            <w:r>
              <w:rPr>
                <w:rFonts w:asciiTheme="minorEastAsia" w:eastAsiaTheme="minorEastAsia" w:hAnsiTheme="minorEastAsia"/>
                <w:sz w:val="24"/>
                <w:szCs w:val="24"/>
              </w:rPr>
              <w:t>2</w:t>
            </w:r>
            <w:r>
              <w:rPr>
                <w:rFonts w:asciiTheme="minorEastAsia" w:eastAsiaTheme="minorEastAsia" w:hAnsiTheme="minorEastAsia"/>
                <w:sz w:val="24"/>
                <w:szCs w:val="24"/>
              </w:rPr>
              <w:t>月</w:t>
            </w:r>
            <w:r>
              <w:rPr>
                <w:rFonts w:asciiTheme="minorEastAsia" w:eastAsiaTheme="minorEastAsia" w:hAnsiTheme="minorEastAsia"/>
                <w:sz w:val="24"/>
                <w:szCs w:val="24"/>
              </w:rPr>
              <w:t>3</w:t>
            </w:r>
            <w:r>
              <w:rPr>
                <w:rFonts w:asciiTheme="minorEastAsia" w:eastAsiaTheme="minorEastAsia" w:hAnsiTheme="minorEastAsia"/>
                <w:sz w:val="24"/>
                <w:szCs w:val="24"/>
              </w:rPr>
              <w:t>日</w:t>
            </w:r>
          </w:p>
        </w:tc>
      </w:tr>
      <w:tr w:rsidR="00357E0C">
        <w:trPr>
          <w:gridAfter w:val="1"/>
          <w:wAfter w:w="21" w:type="pct"/>
          <w:jc w:val="center"/>
        </w:trPr>
        <w:tc>
          <w:tcPr>
            <w:tcW w:w="1596" w:type="pct"/>
            <w:vMerge/>
            <w:vAlign w:val="center"/>
          </w:tcPr>
          <w:p w:rsidR="00357E0C" w:rsidRDefault="00357E0C">
            <w:pPr>
              <w:spacing w:line="560" w:lineRule="exact"/>
              <w:rPr>
                <w:rFonts w:asciiTheme="minorEastAsia" w:eastAsiaTheme="minorEastAsia" w:hAnsiTheme="minorEastAsia"/>
                <w:color w:val="000000"/>
                <w:sz w:val="24"/>
                <w:szCs w:val="24"/>
              </w:rPr>
            </w:pPr>
          </w:p>
        </w:tc>
        <w:tc>
          <w:tcPr>
            <w:tcW w:w="1531" w:type="pct"/>
          </w:tcPr>
          <w:p w:rsidR="00357E0C" w:rsidRDefault="00F92E52">
            <w:pPr>
              <w:spacing w:line="560" w:lineRule="exact"/>
              <w:rPr>
                <w:rFonts w:asciiTheme="minorEastAsia" w:eastAsiaTheme="minorEastAsia" w:hAnsiTheme="minorEastAsia"/>
                <w:color w:val="000000"/>
                <w:kern w:val="0"/>
                <w:sz w:val="24"/>
                <w:szCs w:val="24"/>
              </w:rPr>
            </w:pPr>
            <w:r>
              <w:rPr>
                <w:rFonts w:asciiTheme="minorEastAsia" w:eastAsiaTheme="minorEastAsia" w:hAnsiTheme="minorEastAsia"/>
                <w:color w:val="000000"/>
                <w:sz w:val="24"/>
                <w:szCs w:val="24"/>
              </w:rPr>
              <w:t>暂停申购</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转换转入、定期定额投资的原因说明</w:t>
            </w:r>
          </w:p>
        </w:tc>
        <w:tc>
          <w:tcPr>
            <w:tcW w:w="1851" w:type="pct"/>
            <w:gridSpan w:val="2"/>
          </w:tcPr>
          <w:p w:rsidR="00357E0C" w:rsidRDefault="00F92E52">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本基金管理人自</w:t>
            </w:r>
            <w:r>
              <w:rPr>
                <w:rFonts w:asciiTheme="minorEastAsia" w:eastAsiaTheme="minorEastAsia" w:hAnsiTheme="minorEastAsia"/>
                <w:sz w:val="24"/>
                <w:szCs w:val="24"/>
              </w:rPr>
              <w:t>2023</w:t>
            </w:r>
            <w:r>
              <w:rPr>
                <w:rFonts w:asciiTheme="minorEastAsia" w:eastAsiaTheme="minorEastAsia" w:hAnsiTheme="minorEastAsia"/>
                <w:sz w:val="24"/>
                <w:szCs w:val="24"/>
              </w:rPr>
              <w:t>年</w:t>
            </w:r>
            <w:r>
              <w:rPr>
                <w:rFonts w:asciiTheme="minorEastAsia" w:eastAsiaTheme="minorEastAsia" w:hAnsiTheme="minorEastAsia"/>
                <w:sz w:val="24"/>
                <w:szCs w:val="24"/>
              </w:rPr>
              <w:t>2</w:t>
            </w:r>
            <w:r>
              <w:rPr>
                <w:rFonts w:asciiTheme="minorEastAsia" w:eastAsiaTheme="minorEastAsia" w:hAnsiTheme="minorEastAsia"/>
                <w:sz w:val="24"/>
                <w:szCs w:val="24"/>
              </w:rPr>
              <w:t>月</w:t>
            </w:r>
            <w:r>
              <w:rPr>
                <w:rFonts w:asciiTheme="minorEastAsia" w:eastAsiaTheme="minorEastAsia" w:hAnsiTheme="minorEastAsia"/>
                <w:sz w:val="24"/>
                <w:szCs w:val="24"/>
              </w:rPr>
              <w:t>4</w:t>
            </w:r>
            <w:r>
              <w:rPr>
                <w:rFonts w:asciiTheme="minorEastAsia" w:eastAsiaTheme="minorEastAsia" w:hAnsiTheme="minorEastAsia"/>
                <w:sz w:val="24"/>
                <w:szCs w:val="24"/>
              </w:rPr>
              <w:t>日起，至</w:t>
            </w:r>
            <w:r>
              <w:rPr>
                <w:rFonts w:asciiTheme="minorEastAsia" w:eastAsiaTheme="minorEastAsia" w:hAnsiTheme="minorEastAsia"/>
                <w:sz w:val="24"/>
                <w:szCs w:val="24"/>
              </w:rPr>
              <w:t>2023</w:t>
            </w:r>
            <w:r>
              <w:rPr>
                <w:rFonts w:asciiTheme="minorEastAsia" w:eastAsiaTheme="minorEastAsia" w:hAnsiTheme="minorEastAsia"/>
                <w:sz w:val="24"/>
                <w:szCs w:val="24"/>
              </w:rPr>
              <w:t>年</w:t>
            </w:r>
            <w:r>
              <w:rPr>
                <w:rFonts w:asciiTheme="minorEastAsia" w:eastAsiaTheme="minorEastAsia" w:hAnsiTheme="minorEastAsia"/>
                <w:sz w:val="24"/>
                <w:szCs w:val="24"/>
              </w:rPr>
              <w:t>3</w:t>
            </w:r>
            <w:r>
              <w:rPr>
                <w:rFonts w:asciiTheme="minorEastAsia" w:eastAsiaTheme="minorEastAsia" w:hAnsiTheme="minorEastAsia"/>
                <w:sz w:val="24"/>
                <w:szCs w:val="24"/>
              </w:rPr>
              <w:t>月</w:t>
            </w:r>
            <w:r>
              <w:rPr>
                <w:rFonts w:asciiTheme="minorEastAsia" w:eastAsiaTheme="minorEastAsia" w:hAnsiTheme="minorEastAsia"/>
                <w:sz w:val="24"/>
                <w:szCs w:val="24"/>
              </w:rPr>
              <w:t>2</w:t>
            </w:r>
            <w:r>
              <w:rPr>
                <w:rFonts w:asciiTheme="minorEastAsia" w:eastAsiaTheme="minorEastAsia" w:hAnsiTheme="minorEastAsia"/>
                <w:sz w:val="24"/>
                <w:szCs w:val="24"/>
              </w:rPr>
              <w:t>日</w:t>
            </w:r>
            <w:r>
              <w:rPr>
                <w:rFonts w:asciiTheme="minorEastAsia" w:eastAsiaTheme="minorEastAsia" w:hAnsiTheme="minorEastAsia"/>
                <w:sz w:val="24"/>
                <w:szCs w:val="24"/>
              </w:rPr>
              <w:t>17:00</w:t>
            </w:r>
            <w:r>
              <w:rPr>
                <w:rFonts w:asciiTheme="minorEastAsia" w:eastAsiaTheme="minorEastAsia" w:hAnsiTheme="minorEastAsia"/>
                <w:sz w:val="24"/>
                <w:szCs w:val="24"/>
              </w:rPr>
              <w:t>止以通讯方式召开本基金的基金份额持有人大会，审议《关于终止申万菱信宜选混合型证券投资基金基金合同有关事项的议案》。为保护基金份额持有人的利</w:t>
            </w:r>
            <w:r>
              <w:rPr>
                <w:rFonts w:asciiTheme="minorEastAsia" w:eastAsiaTheme="minorEastAsia" w:hAnsiTheme="minorEastAsia"/>
                <w:sz w:val="24"/>
                <w:szCs w:val="24"/>
              </w:rPr>
              <w:lastRenderedPageBreak/>
              <w:t>益，本基金自</w:t>
            </w:r>
            <w:r>
              <w:rPr>
                <w:rFonts w:asciiTheme="minorEastAsia" w:eastAsiaTheme="minorEastAsia" w:hAnsiTheme="minorEastAsia"/>
                <w:sz w:val="24"/>
                <w:szCs w:val="24"/>
              </w:rPr>
              <w:t>2</w:t>
            </w:r>
            <w:r>
              <w:rPr>
                <w:rFonts w:asciiTheme="minorEastAsia" w:eastAsiaTheme="minorEastAsia" w:hAnsiTheme="minorEastAsia"/>
                <w:sz w:val="24"/>
                <w:szCs w:val="24"/>
              </w:rPr>
              <w:t>月</w:t>
            </w:r>
            <w:r>
              <w:rPr>
                <w:rFonts w:asciiTheme="minorEastAsia" w:eastAsiaTheme="minorEastAsia" w:hAnsiTheme="minorEastAsia"/>
                <w:sz w:val="24"/>
                <w:szCs w:val="24"/>
              </w:rPr>
              <w:t>3</w:t>
            </w:r>
            <w:r>
              <w:rPr>
                <w:rFonts w:asciiTheme="minorEastAsia" w:eastAsiaTheme="minorEastAsia" w:hAnsiTheme="minorEastAsia"/>
                <w:sz w:val="24"/>
                <w:szCs w:val="24"/>
              </w:rPr>
              <w:t>日起暂停申购、转换转入、定期定额投资业务。</w:t>
            </w:r>
          </w:p>
        </w:tc>
      </w:tr>
      <w:tr w:rsidR="00357E0C">
        <w:trPr>
          <w:jc w:val="center"/>
        </w:trPr>
        <w:tc>
          <w:tcPr>
            <w:tcW w:w="1596" w:type="pct"/>
            <w:vAlign w:val="center"/>
          </w:tcPr>
          <w:p w:rsidR="00357E0C" w:rsidRDefault="00F92E52">
            <w:pPr>
              <w:spacing w:line="560" w:lineRule="exact"/>
              <w:rPr>
                <w:rFonts w:asciiTheme="minorEastAsia" w:eastAsiaTheme="minorEastAsia" w:hAnsiTheme="minorEastAsia"/>
                <w:color w:val="000000"/>
                <w:kern w:val="0"/>
                <w:sz w:val="24"/>
                <w:szCs w:val="24"/>
              </w:rPr>
            </w:pPr>
            <w:r>
              <w:rPr>
                <w:rFonts w:asciiTheme="minorEastAsia" w:eastAsiaTheme="minorEastAsia" w:hAnsiTheme="minorEastAsia"/>
                <w:color w:val="000000"/>
                <w:sz w:val="24"/>
                <w:szCs w:val="24"/>
              </w:rPr>
              <w:lastRenderedPageBreak/>
              <w:t>下属分级基金的基金简称</w:t>
            </w:r>
          </w:p>
        </w:tc>
        <w:tc>
          <w:tcPr>
            <w:tcW w:w="1544" w:type="pct"/>
            <w:gridSpan w:val="2"/>
            <w:vAlign w:val="center"/>
          </w:tcPr>
          <w:p w:rsidR="00357E0C" w:rsidRDefault="00F92E52">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申万菱信宜选混合</w:t>
            </w:r>
            <w:r>
              <w:rPr>
                <w:rFonts w:asciiTheme="minorEastAsia" w:eastAsiaTheme="minorEastAsia" w:hAnsiTheme="minorEastAsia"/>
                <w:sz w:val="24"/>
                <w:szCs w:val="24"/>
              </w:rPr>
              <w:t>A</w:t>
            </w:r>
          </w:p>
        </w:tc>
        <w:tc>
          <w:tcPr>
            <w:tcW w:w="1859" w:type="pct"/>
            <w:gridSpan w:val="2"/>
            <w:vAlign w:val="center"/>
          </w:tcPr>
          <w:p w:rsidR="00357E0C" w:rsidRDefault="00F92E52">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申万菱信宜选混合</w:t>
            </w:r>
            <w:r>
              <w:rPr>
                <w:rFonts w:asciiTheme="minorEastAsia" w:eastAsiaTheme="minorEastAsia" w:hAnsiTheme="minorEastAsia"/>
                <w:sz w:val="24"/>
                <w:szCs w:val="24"/>
              </w:rPr>
              <w:t>C</w:t>
            </w:r>
          </w:p>
        </w:tc>
      </w:tr>
      <w:tr w:rsidR="00357E0C">
        <w:trPr>
          <w:jc w:val="center"/>
        </w:trPr>
        <w:tc>
          <w:tcPr>
            <w:tcW w:w="1596" w:type="pct"/>
            <w:vAlign w:val="center"/>
          </w:tcPr>
          <w:p w:rsidR="00357E0C" w:rsidRDefault="00F92E52">
            <w:pPr>
              <w:spacing w:line="560" w:lineRule="exact"/>
              <w:rPr>
                <w:rFonts w:asciiTheme="minorEastAsia" w:eastAsiaTheme="minorEastAsia" w:hAnsiTheme="minorEastAsia"/>
                <w:color w:val="000000"/>
                <w:kern w:val="0"/>
                <w:sz w:val="24"/>
                <w:szCs w:val="24"/>
              </w:rPr>
            </w:pPr>
            <w:r>
              <w:rPr>
                <w:rFonts w:asciiTheme="minorEastAsia" w:eastAsiaTheme="minorEastAsia" w:hAnsiTheme="minorEastAsia"/>
                <w:color w:val="000000"/>
                <w:sz w:val="24"/>
                <w:szCs w:val="24"/>
              </w:rPr>
              <w:t>下属分级基金的交易代码</w:t>
            </w:r>
          </w:p>
        </w:tc>
        <w:tc>
          <w:tcPr>
            <w:tcW w:w="1544" w:type="pct"/>
            <w:gridSpan w:val="2"/>
            <w:vAlign w:val="center"/>
          </w:tcPr>
          <w:p w:rsidR="00357E0C" w:rsidRDefault="00F92E52">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011484</w:t>
            </w:r>
          </w:p>
        </w:tc>
        <w:tc>
          <w:tcPr>
            <w:tcW w:w="1859" w:type="pct"/>
            <w:gridSpan w:val="2"/>
            <w:vAlign w:val="center"/>
          </w:tcPr>
          <w:p w:rsidR="00357E0C" w:rsidRDefault="00F92E52">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011485</w:t>
            </w:r>
          </w:p>
        </w:tc>
      </w:tr>
      <w:tr w:rsidR="00357E0C">
        <w:trPr>
          <w:jc w:val="center"/>
        </w:trPr>
        <w:tc>
          <w:tcPr>
            <w:tcW w:w="1596" w:type="pct"/>
          </w:tcPr>
          <w:p w:rsidR="00357E0C" w:rsidRDefault="00F92E52">
            <w:pPr>
              <w:spacing w:line="560" w:lineRule="exact"/>
              <w:rPr>
                <w:rFonts w:asciiTheme="minorEastAsia" w:eastAsiaTheme="minorEastAsia" w:hAnsiTheme="minorEastAsia"/>
                <w:color w:val="000000"/>
                <w:kern w:val="0"/>
                <w:sz w:val="24"/>
                <w:szCs w:val="24"/>
              </w:rPr>
            </w:pPr>
            <w:r>
              <w:rPr>
                <w:rFonts w:asciiTheme="minorEastAsia" w:eastAsiaTheme="minorEastAsia" w:hAnsiTheme="minorEastAsia"/>
                <w:color w:val="000000"/>
                <w:sz w:val="24"/>
                <w:szCs w:val="24"/>
              </w:rPr>
              <w:t>该分级基金是否暂停申购</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转换转入、定期定额投资</w:t>
            </w:r>
          </w:p>
        </w:tc>
        <w:tc>
          <w:tcPr>
            <w:tcW w:w="1544" w:type="pct"/>
            <w:gridSpan w:val="2"/>
            <w:vAlign w:val="center"/>
          </w:tcPr>
          <w:p w:rsidR="00357E0C" w:rsidRDefault="00F92E52">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是</w:t>
            </w:r>
          </w:p>
        </w:tc>
        <w:tc>
          <w:tcPr>
            <w:tcW w:w="1859" w:type="pct"/>
            <w:gridSpan w:val="2"/>
            <w:vAlign w:val="center"/>
          </w:tcPr>
          <w:p w:rsidR="00357E0C" w:rsidRDefault="00F92E52">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是</w:t>
            </w:r>
          </w:p>
        </w:tc>
      </w:tr>
    </w:tbl>
    <w:p w:rsidR="00357E0C" w:rsidRDefault="00F92E52">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注：</w:t>
      </w:r>
      <w:r>
        <w:rPr>
          <w:rFonts w:asciiTheme="minorEastAsia" w:eastAsiaTheme="minorEastAsia" w:hAnsiTheme="minorEastAsia"/>
          <w:sz w:val="24"/>
          <w:szCs w:val="24"/>
        </w:rPr>
        <w:t>1</w:t>
      </w:r>
      <w:r>
        <w:rPr>
          <w:rFonts w:asciiTheme="minorEastAsia" w:eastAsiaTheme="minorEastAsia" w:hAnsiTheme="minorEastAsia"/>
          <w:sz w:val="24"/>
          <w:szCs w:val="24"/>
        </w:rPr>
        <w:t>、申万菱信基金管理有限公司简称</w:t>
      </w:r>
      <w:r>
        <w:rPr>
          <w:rFonts w:asciiTheme="minorEastAsia" w:eastAsiaTheme="minorEastAsia" w:hAnsiTheme="minorEastAsia"/>
          <w:sz w:val="24"/>
          <w:szCs w:val="24"/>
        </w:rPr>
        <w:t>“</w:t>
      </w:r>
      <w:r>
        <w:rPr>
          <w:rFonts w:asciiTheme="minorEastAsia" w:eastAsiaTheme="minorEastAsia" w:hAnsiTheme="minorEastAsia"/>
          <w:sz w:val="24"/>
          <w:szCs w:val="24"/>
        </w:rPr>
        <w:t>本公司</w:t>
      </w:r>
      <w:r>
        <w:rPr>
          <w:rFonts w:asciiTheme="minorEastAsia" w:eastAsiaTheme="minorEastAsia" w:hAnsiTheme="minorEastAsia"/>
          <w:sz w:val="24"/>
          <w:szCs w:val="24"/>
        </w:rPr>
        <w:t>”</w:t>
      </w:r>
      <w:r>
        <w:rPr>
          <w:rFonts w:asciiTheme="minorEastAsia" w:eastAsiaTheme="minorEastAsia" w:hAnsiTheme="minorEastAsia"/>
          <w:sz w:val="24"/>
          <w:szCs w:val="24"/>
        </w:rPr>
        <w:t>或</w:t>
      </w:r>
      <w:r>
        <w:rPr>
          <w:rFonts w:asciiTheme="minorEastAsia" w:eastAsiaTheme="minorEastAsia" w:hAnsiTheme="minorEastAsia"/>
          <w:sz w:val="24"/>
          <w:szCs w:val="24"/>
        </w:rPr>
        <w:t>“</w:t>
      </w:r>
      <w:r>
        <w:rPr>
          <w:rFonts w:asciiTheme="minorEastAsia" w:eastAsiaTheme="minorEastAsia" w:hAnsiTheme="minorEastAsia" w:hint="eastAsia"/>
          <w:sz w:val="24"/>
          <w:szCs w:val="24"/>
        </w:rPr>
        <w:t>本</w:t>
      </w:r>
      <w:r>
        <w:rPr>
          <w:rFonts w:asciiTheme="minorEastAsia" w:eastAsiaTheme="minorEastAsia" w:hAnsiTheme="minorEastAsia"/>
          <w:sz w:val="24"/>
          <w:szCs w:val="24"/>
        </w:rPr>
        <w:t>基金管理人</w:t>
      </w:r>
      <w:r>
        <w:rPr>
          <w:rFonts w:asciiTheme="minorEastAsia" w:eastAsiaTheme="minorEastAsia" w:hAnsiTheme="minorEastAsia"/>
          <w:sz w:val="24"/>
          <w:szCs w:val="24"/>
        </w:rPr>
        <w:t>”</w:t>
      </w:r>
      <w:r>
        <w:rPr>
          <w:rFonts w:asciiTheme="minorEastAsia" w:eastAsiaTheme="minorEastAsia" w:hAnsiTheme="minorEastAsia"/>
          <w:sz w:val="24"/>
          <w:szCs w:val="24"/>
        </w:rPr>
        <w:t>。</w:t>
      </w:r>
    </w:p>
    <w:p w:rsidR="00357E0C" w:rsidRDefault="00F92E52">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sz w:val="24"/>
          <w:szCs w:val="24"/>
        </w:rPr>
        <w:t>、申万菱信宜选混合型证券投资基金以下简称</w:t>
      </w:r>
      <w:r>
        <w:rPr>
          <w:rFonts w:asciiTheme="minorEastAsia" w:eastAsiaTheme="minorEastAsia" w:hAnsiTheme="minorEastAsia"/>
          <w:sz w:val="24"/>
          <w:szCs w:val="24"/>
        </w:rPr>
        <w:t>“</w:t>
      </w:r>
      <w:r>
        <w:rPr>
          <w:rFonts w:asciiTheme="minorEastAsia" w:eastAsiaTheme="minorEastAsia" w:hAnsiTheme="minorEastAsia"/>
          <w:sz w:val="24"/>
          <w:szCs w:val="24"/>
        </w:rPr>
        <w:t>本基金</w:t>
      </w:r>
      <w:r>
        <w:rPr>
          <w:rFonts w:asciiTheme="minorEastAsia" w:eastAsiaTheme="minorEastAsia" w:hAnsiTheme="minorEastAsia"/>
          <w:sz w:val="24"/>
          <w:szCs w:val="24"/>
        </w:rPr>
        <w:t>”</w:t>
      </w:r>
      <w:r>
        <w:rPr>
          <w:rFonts w:asciiTheme="minorEastAsia" w:eastAsiaTheme="minorEastAsia" w:hAnsiTheme="minorEastAsia"/>
          <w:sz w:val="24"/>
          <w:szCs w:val="24"/>
        </w:rPr>
        <w:t>。</w:t>
      </w:r>
    </w:p>
    <w:p w:rsidR="00357E0C" w:rsidRDefault="00F92E52">
      <w:pPr>
        <w:pStyle w:val="2"/>
        <w:spacing w:line="560" w:lineRule="exact"/>
        <w:rPr>
          <w:rFonts w:asciiTheme="minorEastAsia" w:eastAsiaTheme="minorEastAsia" w:hAnsiTheme="minorEastAsia"/>
          <w:bCs w:val="0"/>
          <w:color w:val="000000"/>
          <w:sz w:val="24"/>
          <w:szCs w:val="24"/>
        </w:rPr>
      </w:pPr>
      <w:bookmarkStart w:id="1" w:name="_Toc275961406"/>
      <w:r>
        <w:rPr>
          <w:rFonts w:asciiTheme="minorEastAsia" w:eastAsiaTheme="minorEastAsia" w:hAnsiTheme="minorEastAsia"/>
          <w:bCs w:val="0"/>
          <w:color w:val="000000"/>
          <w:sz w:val="24"/>
          <w:szCs w:val="24"/>
        </w:rPr>
        <w:t>2</w:t>
      </w:r>
      <w:r>
        <w:rPr>
          <w:rFonts w:asciiTheme="minorEastAsia" w:eastAsiaTheme="minorEastAsia" w:hAnsiTheme="minorEastAsia"/>
          <w:bCs w:val="0"/>
          <w:color w:val="000000"/>
          <w:sz w:val="24"/>
          <w:szCs w:val="24"/>
        </w:rPr>
        <w:t>其他需要提示的事项</w:t>
      </w:r>
      <w:bookmarkEnd w:id="1"/>
    </w:p>
    <w:p w:rsidR="00357E0C" w:rsidRDefault="00F92E52">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1</w:t>
      </w:r>
      <w:r>
        <w:rPr>
          <w:rFonts w:asciiTheme="minorEastAsia" w:eastAsiaTheme="minorEastAsia" w:hAnsiTheme="minorEastAsia"/>
          <w:sz w:val="24"/>
          <w:szCs w:val="24"/>
        </w:rPr>
        <w:t>）本基金管理人已于</w:t>
      </w:r>
      <w:r>
        <w:rPr>
          <w:rFonts w:asciiTheme="minorEastAsia" w:eastAsiaTheme="minorEastAsia" w:hAnsiTheme="minorEastAsia"/>
          <w:sz w:val="24"/>
          <w:szCs w:val="24"/>
        </w:rPr>
        <w:t>2023</w:t>
      </w:r>
      <w:r>
        <w:rPr>
          <w:rFonts w:asciiTheme="minorEastAsia" w:eastAsiaTheme="minorEastAsia" w:hAnsiTheme="minorEastAsia"/>
          <w:sz w:val="24"/>
          <w:szCs w:val="24"/>
        </w:rPr>
        <w:t>年</w:t>
      </w:r>
      <w:r>
        <w:rPr>
          <w:rFonts w:asciiTheme="minorEastAsia" w:eastAsiaTheme="minorEastAsia" w:hAnsiTheme="minorEastAsia"/>
          <w:sz w:val="24"/>
          <w:szCs w:val="24"/>
        </w:rPr>
        <w:t>1</w:t>
      </w:r>
      <w:r>
        <w:rPr>
          <w:rFonts w:asciiTheme="minorEastAsia" w:eastAsiaTheme="minorEastAsia" w:hAnsiTheme="minorEastAsia"/>
          <w:sz w:val="24"/>
          <w:szCs w:val="24"/>
        </w:rPr>
        <w:t>月</w:t>
      </w:r>
      <w:r>
        <w:rPr>
          <w:rFonts w:asciiTheme="minorEastAsia" w:eastAsiaTheme="minorEastAsia" w:hAnsiTheme="minorEastAsia"/>
          <w:sz w:val="24"/>
          <w:szCs w:val="24"/>
        </w:rPr>
        <w:t>31</w:t>
      </w:r>
      <w:r>
        <w:rPr>
          <w:rFonts w:asciiTheme="minorEastAsia" w:eastAsiaTheme="minorEastAsia" w:hAnsiTheme="minorEastAsia"/>
          <w:sz w:val="24"/>
          <w:szCs w:val="24"/>
        </w:rPr>
        <w:t>日、</w:t>
      </w:r>
      <w:r>
        <w:rPr>
          <w:rFonts w:asciiTheme="minorEastAsia" w:eastAsiaTheme="minorEastAsia" w:hAnsiTheme="minorEastAsia"/>
          <w:sz w:val="24"/>
          <w:szCs w:val="24"/>
        </w:rPr>
        <w:t>2</w:t>
      </w:r>
      <w:r>
        <w:rPr>
          <w:rFonts w:asciiTheme="minorEastAsia" w:eastAsiaTheme="minorEastAsia" w:hAnsiTheme="minorEastAsia"/>
          <w:sz w:val="24"/>
          <w:szCs w:val="24"/>
        </w:rPr>
        <w:t>月</w:t>
      </w:r>
      <w:r>
        <w:rPr>
          <w:rFonts w:asciiTheme="minorEastAsia" w:eastAsiaTheme="minorEastAsia" w:hAnsiTheme="minorEastAsia"/>
          <w:sz w:val="24"/>
          <w:szCs w:val="24"/>
        </w:rPr>
        <w:t>1</w:t>
      </w:r>
      <w:r>
        <w:rPr>
          <w:rFonts w:asciiTheme="minorEastAsia" w:eastAsiaTheme="minorEastAsia" w:hAnsiTheme="minorEastAsia"/>
          <w:sz w:val="24"/>
          <w:szCs w:val="24"/>
        </w:rPr>
        <w:t>日、</w:t>
      </w:r>
      <w:r>
        <w:rPr>
          <w:rFonts w:asciiTheme="minorEastAsia" w:eastAsiaTheme="minorEastAsia" w:hAnsiTheme="minorEastAsia"/>
          <w:sz w:val="24"/>
          <w:szCs w:val="24"/>
        </w:rPr>
        <w:t>2</w:t>
      </w:r>
      <w:r>
        <w:rPr>
          <w:rFonts w:asciiTheme="minorEastAsia" w:eastAsiaTheme="minorEastAsia" w:hAnsiTheme="minorEastAsia"/>
          <w:sz w:val="24"/>
          <w:szCs w:val="24"/>
        </w:rPr>
        <w:t>月</w:t>
      </w:r>
      <w:r>
        <w:rPr>
          <w:rFonts w:asciiTheme="minorEastAsia" w:eastAsiaTheme="minorEastAsia" w:hAnsiTheme="minorEastAsia"/>
          <w:sz w:val="24"/>
          <w:szCs w:val="24"/>
        </w:rPr>
        <w:t>2</w:t>
      </w:r>
      <w:r>
        <w:rPr>
          <w:rFonts w:asciiTheme="minorEastAsia" w:eastAsiaTheme="minorEastAsia" w:hAnsiTheme="minorEastAsia"/>
          <w:sz w:val="24"/>
          <w:szCs w:val="24"/>
        </w:rPr>
        <w:t>日在《上海证券报》、本公司网站（</w:t>
      </w:r>
      <w:r>
        <w:rPr>
          <w:rFonts w:asciiTheme="minorEastAsia" w:eastAsiaTheme="minorEastAsia" w:hAnsiTheme="minorEastAsia"/>
          <w:sz w:val="24"/>
          <w:szCs w:val="24"/>
        </w:rPr>
        <w:t>www.swsmu.com.cn</w:t>
      </w:r>
      <w:r>
        <w:rPr>
          <w:rFonts w:asciiTheme="minorEastAsia" w:eastAsiaTheme="minorEastAsia" w:hAnsiTheme="minorEastAsia"/>
          <w:sz w:val="24"/>
          <w:szCs w:val="24"/>
        </w:rPr>
        <w:t>）及中国证监会基金电子披露网站（</w:t>
      </w:r>
      <w:r>
        <w:rPr>
          <w:rFonts w:asciiTheme="minorEastAsia" w:eastAsiaTheme="minorEastAsia" w:hAnsiTheme="minorEastAsia"/>
          <w:sz w:val="24"/>
          <w:szCs w:val="24"/>
        </w:rPr>
        <w:t>http://eid.csrc.gov.cn/fund</w:t>
      </w:r>
      <w:r>
        <w:rPr>
          <w:rFonts w:asciiTheme="minorEastAsia" w:eastAsiaTheme="minorEastAsia" w:hAnsiTheme="minorEastAsia"/>
          <w:sz w:val="24"/>
          <w:szCs w:val="24"/>
        </w:rPr>
        <w:t>）发布了《申万菱信基金管理有限公司关于以通讯方式召开申万菱信宜选混合型证券投资基金基金份额持有人大会的公告》及第一、二次提示性公告。为保护投资者利益，本基金自</w:t>
      </w:r>
      <w:r>
        <w:rPr>
          <w:rFonts w:asciiTheme="minorEastAsia" w:eastAsiaTheme="minorEastAsia" w:hAnsiTheme="minorEastAsia"/>
          <w:sz w:val="24"/>
          <w:szCs w:val="24"/>
        </w:rPr>
        <w:t>2023</w:t>
      </w:r>
      <w:r>
        <w:rPr>
          <w:rFonts w:asciiTheme="minorEastAsia" w:eastAsiaTheme="minorEastAsia" w:hAnsiTheme="minorEastAsia"/>
          <w:sz w:val="24"/>
          <w:szCs w:val="24"/>
        </w:rPr>
        <w:t>年</w:t>
      </w:r>
      <w:r>
        <w:rPr>
          <w:rFonts w:asciiTheme="minorEastAsia" w:eastAsiaTheme="minorEastAsia" w:hAnsiTheme="minorEastAsia"/>
          <w:sz w:val="24"/>
          <w:szCs w:val="24"/>
        </w:rPr>
        <w:t>2</w:t>
      </w:r>
      <w:r>
        <w:rPr>
          <w:rFonts w:asciiTheme="minorEastAsia" w:eastAsiaTheme="minorEastAsia" w:hAnsiTheme="minorEastAsia"/>
          <w:sz w:val="24"/>
          <w:szCs w:val="24"/>
        </w:rPr>
        <w:t>月</w:t>
      </w:r>
      <w:r>
        <w:rPr>
          <w:rFonts w:asciiTheme="minorEastAsia" w:eastAsiaTheme="minorEastAsia" w:hAnsiTheme="minorEastAsia"/>
          <w:sz w:val="24"/>
          <w:szCs w:val="24"/>
        </w:rPr>
        <w:t>3</w:t>
      </w:r>
      <w:r>
        <w:rPr>
          <w:rFonts w:asciiTheme="minorEastAsia" w:eastAsiaTheme="minorEastAsia" w:hAnsiTheme="minorEastAsia"/>
          <w:sz w:val="24"/>
          <w:szCs w:val="24"/>
        </w:rPr>
        <w:t>日起暂停办理申购、转换转入、定期定额投资业务。若后续本基金恢复申购、转换转入、定期定额投资业务，详见</w:t>
      </w:r>
      <w:r>
        <w:rPr>
          <w:rFonts w:asciiTheme="minorEastAsia" w:eastAsiaTheme="minorEastAsia" w:hAnsiTheme="minorEastAsia" w:hint="eastAsia"/>
          <w:sz w:val="24"/>
          <w:szCs w:val="24"/>
        </w:rPr>
        <w:t>本公司</w:t>
      </w:r>
      <w:r>
        <w:rPr>
          <w:rFonts w:asciiTheme="minorEastAsia" w:eastAsiaTheme="minorEastAsia" w:hAnsiTheme="minorEastAsia"/>
          <w:sz w:val="24"/>
          <w:szCs w:val="24"/>
        </w:rPr>
        <w:t>届时发布的相关公告。</w:t>
      </w:r>
    </w:p>
    <w:p w:rsidR="00357E0C" w:rsidRDefault="00F92E52">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2</w:t>
      </w:r>
      <w:r>
        <w:rPr>
          <w:rFonts w:asciiTheme="minorEastAsia" w:eastAsiaTheme="minorEastAsia" w:hAnsiTheme="minorEastAsia"/>
          <w:sz w:val="24"/>
          <w:szCs w:val="24"/>
        </w:rPr>
        <w:t>）本基金暂停办理申购、转换转入、定期定额投资业务期间，本公司将正常办理本基金的转换转出和赎回等业务。</w:t>
      </w:r>
      <w:bookmarkStart w:id="2" w:name="_GoBack"/>
      <w:bookmarkEnd w:id="2"/>
    </w:p>
    <w:p w:rsidR="00357E0C" w:rsidRDefault="00F92E52">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3</w:t>
      </w:r>
      <w:r>
        <w:rPr>
          <w:rFonts w:asciiTheme="minorEastAsia" w:eastAsiaTheme="minorEastAsia" w:hAnsiTheme="minorEastAsia"/>
          <w:sz w:val="24"/>
          <w:szCs w:val="24"/>
        </w:rPr>
        <w:t>）本公告仅对本基金暂停办理申购、定期定额投资及转换转入业务相关事项予以说明。投资者欲了解本基金的详细情况，请认真阅读本基金的招募说明书、基金合同等法律文件，亦可登录本公司网站（</w:t>
      </w:r>
      <w:r>
        <w:rPr>
          <w:rFonts w:asciiTheme="minorEastAsia" w:eastAsiaTheme="minorEastAsia" w:hAnsiTheme="minorEastAsia"/>
          <w:sz w:val="24"/>
          <w:szCs w:val="24"/>
        </w:rPr>
        <w:t>www.swsmu.com</w:t>
      </w:r>
      <w:r>
        <w:rPr>
          <w:rFonts w:asciiTheme="minorEastAsia" w:eastAsiaTheme="minorEastAsia" w:hAnsiTheme="minorEastAsia"/>
          <w:sz w:val="24"/>
          <w:szCs w:val="24"/>
        </w:rPr>
        <w:t>）进行查询。</w:t>
      </w:r>
    </w:p>
    <w:p w:rsidR="00357E0C" w:rsidRDefault="00F92E52">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4</w:t>
      </w:r>
      <w:r>
        <w:rPr>
          <w:rFonts w:asciiTheme="minorEastAsia" w:eastAsiaTheme="minorEastAsia" w:hAnsiTheme="minorEastAsia"/>
          <w:sz w:val="24"/>
          <w:szCs w:val="24"/>
        </w:rPr>
        <w:t>）投资者可通过以下途径咨询：</w:t>
      </w:r>
    </w:p>
    <w:p w:rsidR="00357E0C" w:rsidRDefault="00F92E52">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申万菱信基金管理有限公司</w:t>
      </w:r>
    </w:p>
    <w:p w:rsidR="00357E0C" w:rsidRDefault="00F92E52">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网站：</w:t>
      </w:r>
      <w:r>
        <w:rPr>
          <w:rFonts w:asciiTheme="minorEastAsia" w:eastAsiaTheme="minorEastAsia" w:hAnsiTheme="minorEastAsia"/>
          <w:sz w:val="24"/>
          <w:szCs w:val="24"/>
        </w:rPr>
        <w:t>www.swsmu.com</w:t>
      </w:r>
    </w:p>
    <w:p w:rsidR="00357E0C" w:rsidRDefault="00F92E52">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客服电话：</w:t>
      </w:r>
      <w:r>
        <w:rPr>
          <w:rFonts w:asciiTheme="minorEastAsia" w:eastAsiaTheme="minorEastAsia" w:hAnsiTheme="minorEastAsia"/>
          <w:sz w:val="24"/>
          <w:szCs w:val="24"/>
        </w:rPr>
        <w:t>400-880-8588</w:t>
      </w:r>
      <w:r>
        <w:rPr>
          <w:rFonts w:asciiTheme="minorEastAsia" w:eastAsiaTheme="minorEastAsia" w:hAnsiTheme="minorEastAsia"/>
          <w:sz w:val="24"/>
          <w:szCs w:val="24"/>
        </w:rPr>
        <w:t>（免长途话费）或</w:t>
      </w:r>
      <w:r>
        <w:rPr>
          <w:rFonts w:asciiTheme="minorEastAsia" w:eastAsiaTheme="minorEastAsia" w:hAnsiTheme="minorEastAsia"/>
          <w:sz w:val="24"/>
          <w:szCs w:val="24"/>
        </w:rPr>
        <w:t xml:space="preserve"> 021-962299</w:t>
      </w:r>
    </w:p>
    <w:p w:rsidR="00357E0C" w:rsidRDefault="00F92E52">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5</w:t>
      </w:r>
      <w:r>
        <w:rPr>
          <w:rFonts w:asciiTheme="minorEastAsia" w:eastAsiaTheme="minorEastAsia" w:hAnsiTheme="minorEastAsia"/>
          <w:sz w:val="24"/>
          <w:szCs w:val="24"/>
        </w:rPr>
        <w:t>）风险提示：本</w:t>
      </w:r>
      <w:r>
        <w:rPr>
          <w:rFonts w:asciiTheme="minorEastAsia" w:eastAsiaTheme="minorEastAsia" w:hAnsiTheme="minorEastAsia"/>
          <w:sz w:val="24"/>
          <w:szCs w:val="24"/>
        </w:rPr>
        <w:t>公司承诺以诚实信用、勤勉尽责的原则管理和运用基金资产，但不保证基金一定盈利，也不保证最低收益。投资者投资于本基金前应认真阅读本基金的基金合同、招募说明书等法律文件。敬请投资者注意投资风险。</w:t>
      </w:r>
    </w:p>
    <w:sectPr w:rsidR="00357E0C" w:rsidSect="00357E0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27FA"/>
    <w:rsid w:val="00014582"/>
    <w:rsid w:val="00020378"/>
    <w:rsid w:val="00041353"/>
    <w:rsid w:val="000746EF"/>
    <w:rsid w:val="000E2B3D"/>
    <w:rsid w:val="000E4CBF"/>
    <w:rsid w:val="001161A4"/>
    <w:rsid w:val="001169BB"/>
    <w:rsid w:val="00180DA3"/>
    <w:rsid w:val="001A3CA1"/>
    <w:rsid w:val="001B4F9F"/>
    <w:rsid w:val="001E4CD3"/>
    <w:rsid w:val="00245724"/>
    <w:rsid w:val="00265B63"/>
    <w:rsid w:val="0028798D"/>
    <w:rsid w:val="002935EF"/>
    <w:rsid w:val="00297148"/>
    <w:rsid w:val="002C360B"/>
    <w:rsid w:val="002E26DF"/>
    <w:rsid w:val="002F7241"/>
    <w:rsid w:val="00327DA7"/>
    <w:rsid w:val="0033513C"/>
    <w:rsid w:val="00357E0C"/>
    <w:rsid w:val="003612CB"/>
    <w:rsid w:val="0036784E"/>
    <w:rsid w:val="00386A1F"/>
    <w:rsid w:val="0048692B"/>
    <w:rsid w:val="004966BA"/>
    <w:rsid w:val="004D6346"/>
    <w:rsid w:val="004E2421"/>
    <w:rsid w:val="004F0521"/>
    <w:rsid w:val="004F51E8"/>
    <w:rsid w:val="00540343"/>
    <w:rsid w:val="00564298"/>
    <w:rsid w:val="005F1AF0"/>
    <w:rsid w:val="00614995"/>
    <w:rsid w:val="00646522"/>
    <w:rsid w:val="00727899"/>
    <w:rsid w:val="00753DDE"/>
    <w:rsid w:val="00770DB7"/>
    <w:rsid w:val="007B1D31"/>
    <w:rsid w:val="0082571C"/>
    <w:rsid w:val="00827D4A"/>
    <w:rsid w:val="0083445C"/>
    <w:rsid w:val="00841AFE"/>
    <w:rsid w:val="008472DB"/>
    <w:rsid w:val="00853A75"/>
    <w:rsid w:val="00875F57"/>
    <w:rsid w:val="008D3261"/>
    <w:rsid w:val="008F225D"/>
    <w:rsid w:val="00932FF1"/>
    <w:rsid w:val="00956B0F"/>
    <w:rsid w:val="009A0B67"/>
    <w:rsid w:val="009C5858"/>
    <w:rsid w:val="00A516C4"/>
    <w:rsid w:val="00B101F7"/>
    <w:rsid w:val="00B13229"/>
    <w:rsid w:val="00B243AE"/>
    <w:rsid w:val="00B40A5A"/>
    <w:rsid w:val="00B5053A"/>
    <w:rsid w:val="00BA6967"/>
    <w:rsid w:val="00BD601B"/>
    <w:rsid w:val="00BD6D93"/>
    <w:rsid w:val="00C50193"/>
    <w:rsid w:val="00D100C9"/>
    <w:rsid w:val="00D114B7"/>
    <w:rsid w:val="00D327FA"/>
    <w:rsid w:val="00D33E60"/>
    <w:rsid w:val="00D82740"/>
    <w:rsid w:val="00DE5E75"/>
    <w:rsid w:val="00E72255"/>
    <w:rsid w:val="00E77D74"/>
    <w:rsid w:val="00EE1823"/>
    <w:rsid w:val="00F14414"/>
    <w:rsid w:val="00F5252D"/>
    <w:rsid w:val="00F64447"/>
    <w:rsid w:val="00F875F9"/>
    <w:rsid w:val="00F92E52"/>
    <w:rsid w:val="00F95610"/>
    <w:rsid w:val="00FD7428"/>
    <w:rsid w:val="150F112C"/>
    <w:rsid w:val="2E9E3E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qFormat="1"/>
    <w:lsdException w:name="footer" w:semiHidden="0" w:qFormat="1"/>
    <w:lsdException w:name="caption" w:uiPriority="35" w:qFormat="1"/>
    <w:lsdException w:name="footnote reference"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E0C"/>
    <w:pPr>
      <w:widowControl w:val="0"/>
      <w:jc w:val="both"/>
    </w:pPr>
    <w:rPr>
      <w:rFonts w:ascii="Times New Roman" w:eastAsia="方正仿宋简体" w:hAnsi="Times New Roman" w:cs="Times New Roman"/>
      <w:kern w:val="2"/>
      <w:sz w:val="32"/>
    </w:rPr>
  </w:style>
  <w:style w:type="paragraph" w:styleId="1">
    <w:name w:val="heading 1"/>
    <w:basedOn w:val="a"/>
    <w:next w:val="a"/>
    <w:link w:val="1Char"/>
    <w:qFormat/>
    <w:rsid w:val="00357E0C"/>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357E0C"/>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7E0C"/>
    <w:rPr>
      <w:sz w:val="18"/>
      <w:szCs w:val="18"/>
    </w:rPr>
  </w:style>
  <w:style w:type="paragraph" w:styleId="a4">
    <w:name w:val="footer"/>
    <w:basedOn w:val="a"/>
    <w:link w:val="Char0"/>
    <w:uiPriority w:val="99"/>
    <w:unhideWhenUsed/>
    <w:qFormat/>
    <w:rsid w:val="00357E0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57E0C"/>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rsid w:val="00357E0C"/>
    <w:pPr>
      <w:snapToGrid w:val="0"/>
      <w:jc w:val="left"/>
    </w:pPr>
    <w:rPr>
      <w:rFonts w:eastAsia="宋体"/>
      <w:sz w:val="18"/>
    </w:rPr>
  </w:style>
  <w:style w:type="character" w:styleId="a7">
    <w:name w:val="footnote reference"/>
    <w:basedOn w:val="a0"/>
    <w:rsid w:val="00357E0C"/>
    <w:rPr>
      <w:vertAlign w:val="superscript"/>
    </w:rPr>
  </w:style>
  <w:style w:type="character" w:customStyle="1" w:styleId="1Char">
    <w:name w:val="标题 1 Char"/>
    <w:basedOn w:val="a0"/>
    <w:link w:val="1"/>
    <w:rsid w:val="00357E0C"/>
    <w:rPr>
      <w:rFonts w:ascii="Times New Roman" w:eastAsia="宋体" w:hAnsi="Times New Roman" w:cs="Times New Roman"/>
      <w:b/>
      <w:bCs/>
      <w:kern w:val="44"/>
      <w:sz w:val="44"/>
      <w:szCs w:val="44"/>
    </w:rPr>
  </w:style>
  <w:style w:type="character" w:customStyle="1" w:styleId="2Char">
    <w:name w:val="标题 2 Char"/>
    <w:basedOn w:val="a0"/>
    <w:link w:val="2"/>
    <w:rsid w:val="00357E0C"/>
    <w:rPr>
      <w:rFonts w:ascii="Arial" w:eastAsia="黑体" w:hAnsi="Arial" w:cs="Times New Roman"/>
      <w:b/>
      <w:bCs/>
      <w:sz w:val="32"/>
      <w:szCs w:val="32"/>
    </w:rPr>
  </w:style>
  <w:style w:type="character" w:customStyle="1" w:styleId="Char2">
    <w:name w:val="脚注文本 Char"/>
    <w:basedOn w:val="a0"/>
    <w:link w:val="a6"/>
    <w:qFormat/>
    <w:rsid w:val="00357E0C"/>
    <w:rPr>
      <w:rFonts w:ascii="Times New Roman" w:eastAsia="宋体" w:hAnsi="Times New Roman" w:cs="Times New Roman"/>
      <w:sz w:val="18"/>
      <w:szCs w:val="20"/>
    </w:rPr>
  </w:style>
  <w:style w:type="character" w:customStyle="1" w:styleId="Char">
    <w:name w:val="批注框文本 Char"/>
    <w:basedOn w:val="a0"/>
    <w:link w:val="a3"/>
    <w:uiPriority w:val="99"/>
    <w:semiHidden/>
    <w:qFormat/>
    <w:rsid w:val="00357E0C"/>
    <w:rPr>
      <w:rFonts w:ascii="Times New Roman" w:eastAsia="方正仿宋简体" w:hAnsi="Times New Roman" w:cs="Times New Roman"/>
      <w:sz w:val="18"/>
      <w:szCs w:val="18"/>
    </w:rPr>
  </w:style>
  <w:style w:type="character" w:customStyle="1" w:styleId="Char1">
    <w:name w:val="页眉 Char"/>
    <w:basedOn w:val="a0"/>
    <w:link w:val="a5"/>
    <w:uiPriority w:val="99"/>
    <w:rsid w:val="00357E0C"/>
    <w:rPr>
      <w:rFonts w:ascii="Times New Roman" w:eastAsia="方正仿宋简体" w:hAnsi="Times New Roman" w:cs="Times New Roman"/>
      <w:sz w:val="18"/>
      <w:szCs w:val="18"/>
    </w:rPr>
  </w:style>
  <w:style w:type="character" w:customStyle="1" w:styleId="Char0">
    <w:name w:val="页脚 Char"/>
    <w:basedOn w:val="a0"/>
    <w:link w:val="a4"/>
    <w:uiPriority w:val="99"/>
    <w:qFormat/>
    <w:rsid w:val="00357E0C"/>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1064</Characters>
  <Application>Microsoft Office Word</Application>
  <DocSecurity>4</DocSecurity>
  <Lines>8</Lines>
  <Paragraphs>2</Paragraphs>
  <ScaleCrop>false</ScaleCrop>
  <Company>微软中国</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2023-02-02T16:00:00Z</dcterms:created>
  <dcterms:modified xsi:type="dcterms:W3CDTF">2023-02-02T16:00:00Z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72CF2E23635E4A47BF2BF3B7D22C8C39</vt:lpwstr>
  </property>
</Properties>
</file>