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2" w:rsidRPr="002779BB" w:rsidRDefault="00AF3D13" w:rsidP="002779BB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2779BB">
        <w:rPr>
          <w:rFonts w:ascii="宋体" w:eastAsia="宋体" w:hAnsi="宋体" w:hint="eastAsia"/>
          <w:b/>
          <w:bCs/>
          <w:sz w:val="36"/>
          <w:szCs w:val="36"/>
        </w:rPr>
        <w:t>九泰基金管理有限公司关于旗下</w:t>
      </w:r>
      <w:r w:rsidR="00C91568" w:rsidRPr="00C91568">
        <w:rPr>
          <w:rFonts w:ascii="宋体" w:eastAsia="宋体" w:hAnsi="宋体" w:hint="eastAsia"/>
          <w:b/>
          <w:bCs/>
          <w:sz w:val="36"/>
          <w:szCs w:val="36"/>
        </w:rPr>
        <w:t>九泰久睿量化股票型证券投资基金</w:t>
      </w:r>
      <w:r w:rsidRPr="002779BB">
        <w:rPr>
          <w:rFonts w:ascii="宋体" w:eastAsia="宋体" w:hAnsi="宋体" w:hint="eastAsia"/>
          <w:b/>
          <w:bCs/>
          <w:sz w:val="36"/>
          <w:szCs w:val="36"/>
        </w:rPr>
        <w:t>关联交易的公告</w:t>
      </w:r>
    </w:p>
    <w:p w:rsidR="00AF3D13" w:rsidRPr="005847D0" w:rsidRDefault="00AF3D13" w:rsidP="00AF3D13">
      <w:pPr>
        <w:jc w:val="center"/>
        <w:rPr>
          <w:rFonts w:ascii="宋体" w:eastAsia="宋体" w:hAnsi="宋体" w:cs="Times New Roman"/>
          <w:b/>
          <w:sz w:val="32"/>
          <w:szCs w:val="48"/>
        </w:rPr>
      </w:pPr>
    </w:p>
    <w:p w:rsidR="00AF3D13" w:rsidRPr="002779BB" w:rsidRDefault="006156A3" w:rsidP="002779BB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>
        <w:rPr>
          <w:rFonts w:ascii="仿宋" w:eastAsia="仿宋" w:hAnsi="仿宋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中华</w:t>
      </w:r>
      <w:r>
        <w:rPr>
          <w:rFonts w:ascii="仿宋" w:eastAsia="仿宋" w:hAnsi="仿宋"/>
          <w:sz w:val="30"/>
          <w:szCs w:val="30"/>
        </w:rPr>
        <w:t>人民共和国</w:t>
      </w:r>
      <w:r w:rsidR="005847D0">
        <w:rPr>
          <w:rFonts w:ascii="仿宋" w:eastAsia="仿宋" w:hAnsi="仿宋" w:hint="eastAsia"/>
          <w:sz w:val="30"/>
          <w:szCs w:val="30"/>
        </w:rPr>
        <w:t>证券投资</w:t>
      </w:r>
      <w:r>
        <w:rPr>
          <w:rFonts w:ascii="仿宋" w:eastAsia="仿宋" w:hAnsi="仿宋"/>
          <w:sz w:val="30"/>
          <w:szCs w:val="30"/>
        </w:rPr>
        <w:t>基金法》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公开</w:t>
      </w:r>
      <w:r>
        <w:rPr>
          <w:rFonts w:ascii="仿宋" w:eastAsia="仿宋" w:hAnsi="仿宋"/>
          <w:sz w:val="30"/>
          <w:szCs w:val="30"/>
        </w:rPr>
        <w:t>募集</w:t>
      </w:r>
      <w:r>
        <w:rPr>
          <w:rFonts w:ascii="仿宋" w:eastAsia="仿宋" w:hAnsi="仿宋" w:hint="eastAsia"/>
          <w:sz w:val="30"/>
          <w:szCs w:val="30"/>
        </w:rPr>
        <w:t>证券</w:t>
      </w:r>
      <w:r>
        <w:rPr>
          <w:rFonts w:ascii="仿宋" w:eastAsia="仿宋" w:hAnsi="仿宋"/>
          <w:sz w:val="30"/>
          <w:szCs w:val="30"/>
        </w:rPr>
        <w:t>投资基金运作管理办法》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公开</w:t>
      </w:r>
      <w:r>
        <w:rPr>
          <w:rFonts w:ascii="仿宋" w:eastAsia="仿宋" w:hAnsi="仿宋"/>
          <w:sz w:val="30"/>
          <w:szCs w:val="30"/>
        </w:rPr>
        <w:t>募集</w:t>
      </w:r>
      <w:r>
        <w:rPr>
          <w:rFonts w:ascii="仿宋" w:eastAsia="仿宋" w:hAnsi="仿宋" w:hint="eastAsia"/>
          <w:sz w:val="30"/>
          <w:szCs w:val="30"/>
        </w:rPr>
        <w:t>证券</w:t>
      </w:r>
      <w:r>
        <w:rPr>
          <w:rFonts w:ascii="仿宋" w:eastAsia="仿宋" w:hAnsi="仿宋"/>
          <w:sz w:val="30"/>
          <w:szCs w:val="30"/>
        </w:rPr>
        <w:t>投资基金信息披露管理办法》</w:t>
      </w:r>
      <w:r w:rsidR="00F35EF3"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/>
          <w:sz w:val="30"/>
          <w:szCs w:val="30"/>
        </w:rPr>
        <w:t>相关法律法规</w:t>
      </w:r>
      <w:r>
        <w:rPr>
          <w:rFonts w:ascii="仿宋" w:eastAsia="仿宋" w:hAnsi="仿宋" w:hint="eastAsia"/>
          <w:sz w:val="30"/>
          <w:szCs w:val="30"/>
        </w:rPr>
        <w:t>规定</w:t>
      </w:r>
      <w:r>
        <w:rPr>
          <w:rFonts w:ascii="仿宋" w:eastAsia="仿宋" w:hAnsi="仿宋"/>
          <w:sz w:val="30"/>
          <w:szCs w:val="30"/>
        </w:rPr>
        <w:t>及基金</w:t>
      </w:r>
      <w:r>
        <w:rPr>
          <w:rFonts w:ascii="仿宋" w:eastAsia="仿宋" w:hAnsi="仿宋" w:hint="eastAsia"/>
          <w:sz w:val="30"/>
          <w:szCs w:val="30"/>
        </w:rPr>
        <w:t>法律</w:t>
      </w:r>
      <w:r>
        <w:rPr>
          <w:rFonts w:ascii="仿宋" w:eastAsia="仿宋" w:hAnsi="仿宋"/>
          <w:sz w:val="30"/>
          <w:szCs w:val="30"/>
        </w:rPr>
        <w:t>文件约定</w:t>
      </w:r>
      <w:r>
        <w:rPr>
          <w:rFonts w:ascii="仿宋" w:eastAsia="仿宋" w:hAnsi="仿宋" w:hint="eastAsia"/>
          <w:sz w:val="30"/>
          <w:szCs w:val="30"/>
        </w:rPr>
        <w:t>，</w:t>
      </w:r>
      <w:r w:rsidR="00AF3D13" w:rsidRPr="002779BB">
        <w:rPr>
          <w:rFonts w:ascii="仿宋" w:eastAsia="仿宋" w:hAnsi="仿宋" w:hint="eastAsia"/>
          <w:sz w:val="30"/>
          <w:szCs w:val="30"/>
        </w:rPr>
        <w:t>九泰基金管理有限公司（以下简称“本公司”）旗下</w:t>
      </w:r>
      <w:r w:rsidR="00C91568" w:rsidRPr="00C91568">
        <w:rPr>
          <w:rFonts w:ascii="仿宋" w:eastAsia="仿宋" w:hAnsi="仿宋" w:hint="eastAsia"/>
          <w:sz w:val="30"/>
          <w:szCs w:val="30"/>
        </w:rPr>
        <w:t>九泰久睿量化股票型证券投资基金</w:t>
      </w:r>
      <w:r w:rsidR="00AF3D13" w:rsidRPr="002779BB">
        <w:rPr>
          <w:rFonts w:ascii="仿宋" w:eastAsia="仿宋" w:hAnsi="仿宋" w:hint="eastAsia"/>
          <w:sz w:val="30"/>
          <w:szCs w:val="30"/>
        </w:rPr>
        <w:t>（基金代码：</w:t>
      </w:r>
      <w:r w:rsidR="00C91568" w:rsidRPr="00C91568">
        <w:rPr>
          <w:rFonts w:ascii="仿宋" w:eastAsia="仿宋" w:hAnsi="仿宋"/>
          <w:sz w:val="30"/>
          <w:szCs w:val="30"/>
        </w:rPr>
        <w:t>009874</w:t>
      </w:r>
      <w:r w:rsidR="002779BB" w:rsidRPr="002779BB">
        <w:rPr>
          <w:rFonts w:ascii="仿宋" w:eastAsia="仿宋" w:hAnsi="仿宋" w:hint="eastAsia"/>
          <w:sz w:val="30"/>
          <w:szCs w:val="30"/>
        </w:rPr>
        <w:t>，以下简称“本基金”</w:t>
      </w:r>
      <w:r w:rsidR="00AF3D13" w:rsidRPr="002779BB">
        <w:rPr>
          <w:rFonts w:ascii="仿宋" w:eastAsia="仿宋" w:hAnsi="仿宋" w:hint="eastAsia"/>
          <w:sz w:val="30"/>
          <w:szCs w:val="30"/>
        </w:rPr>
        <w:t>）</w:t>
      </w:r>
      <w:r w:rsidR="00F35EF3">
        <w:rPr>
          <w:rFonts w:ascii="仿宋" w:eastAsia="仿宋" w:hAnsi="仿宋" w:hint="eastAsia"/>
          <w:sz w:val="30"/>
          <w:szCs w:val="30"/>
        </w:rPr>
        <w:t>参与</w:t>
      </w:r>
      <w:r w:rsidR="00F35EF3">
        <w:rPr>
          <w:rFonts w:ascii="仿宋" w:eastAsia="仿宋" w:hAnsi="仿宋"/>
          <w:sz w:val="30"/>
          <w:szCs w:val="30"/>
        </w:rPr>
        <w:t>了</w:t>
      </w:r>
      <w:r>
        <w:rPr>
          <w:rFonts w:ascii="仿宋" w:eastAsia="仿宋" w:hAnsi="仿宋" w:hint="eastAsia"/>
          <w:sz w:val="30"/>
          <w:szCs w:val="30"/>
        </w:rPr>
        <w:t>本基金托管人</w:t>
      </w:r>
      <w:r w:rsidR="00C91568" w:rsidRPr="00C91568">
        <w:rPr>
          <w:rFonts w:ascii="仿宋" w:eastAsia="仿宋" w:hAnsi="仿宋" w:hint="eastAsia"/>
          <w:sz w:val="30"/>
          <w:szCs w:val="30"/>
        </w:rPr>
        <w:t>浙商银行股份有限公司</w:t>
      </w:r>
      <w:r w:rsidR="00406158">
        <w:rPr>
          <w:rFonts w:ascii="仿宋" w:eastAsia="仿宋" w:hAnsi="仿宋" w:hint="eastAsia"/>
          <w:sz w:val="30"/>
          <w:szCs w:val="30"/>
        </w:rPr>
        <w:t>关联方</w:t>
      </w:r>
      <w:r>
        <w:rPr>
          <w:rFonts w:ascii="仿宋" w:eastAsia="仿宋" w:hAnsi="仿宋" w:hint="eastAsia"/>
          <w:sz w:val="30"/>
          <w:szCs w:val="30"/>
        </w:rPr>
        <w:t>承销</w:t>
      </w:r>
      <w:r w:rsidR="00AF3D13" w:rsidRPr="002779BB">
        <w:rPr>
          <w:rFonts w:ascii="仿宋" w:eastAsia="仿宋" w:hAnsi="仿宋" w:hint="eastAsia"/>
          <w:sz w:val="30"/>
          <w:szCs w:val="30"/>
        </w:rPr>
        <w:t>新股</w:t>
      </w:r>
      <w:r w:rsidR="00771B7E">
        <w:rPr>
          <w:rFonts w:ascii="仿宋" w:eastAsia="仿宋" w:hAnsi="仿宋" w:hint="eastAsia"/>
          <w:sz w:val="30"/>
          <w:szCs w:val="30"/>
        </w:rPr>
        <w:t>“</w:t>
      </w:r>
      <w:r w:rsidR="00FD3128" w:rsidRPr="00FD3128">
        <w:rPr>
          <w:rFonts w:ascii="仿宋" w:eastAsia="仿宋" w:hAnsi="仿宋" w:hint="eastAsia"/>
          <w:sz w:val="30"/>
          <w:szCs w:val="30"/>
        </w:rPr>
        <w:t>湖南裕能新能源电池材料股份有限公司</w:t>
      </w:r>
      <w:r w:rsidR="00771B7E">
        <w:rPr>
          <w:rFonts w:ascii="仿宋" w:eastAsia="仿宋" w:hAnsi="仿宋" w:hint="eastAsia"/>
          <w:sz w:val="30"/>
          <w:szCs w:val="30"/>
        </w:rPr>
        <w:t>”</w:t>
      </w:r>
      <w:r w:rsidR="00AF3D13" w:rsidRPr="002779BB">
        <w:rPr>
          <w:rFonts w:ascii="仿宋" w:eastAsia="仿宋" w:hAnsi="仿宋" w:hint="eastAsia"/>
          <w:sz w:val="30"/>
          <w:szCs w:val="30"/>
        </w:rPr>
        <w:t>（</w:t>
      </w:r>
      <w:r w:rsidR="00413BF5">
        <w:rPr>
          <w:rFonts w:ascii="仿宋" w:eastAsia="仿宋" w:hAnsi="仿宋" w:hint="eastAsia"/>
          <w:sz w:val="30"/>
          <w:szCs w:val="30"/>
        </w:rPr>
        <w:t>代码：</w:t>
      </w:r>
      <w:r w:rsidR="00FD3128" w:rsidRPr="00FD3128">
        <w:rPr>
          <w:rFonts w:ascii="仿宋" w:eastAsia="仿宋" w:hAnsi="仿宋"/>
          <w:sz w:val="30"/>
          <w:szCs w:val="30"/>
        </w:rPr>
        <w:t>301358</w:t>
      </w:r>
      <w:r w:rsidR="00AF3D13" w:rsidRPr="002779BB">
        <w:rPr>
          <w:rFonts w:ascii="仿宋" w:eastAsia="仿宋" w:hAnsi="仿宋" w:hint="eastAsia"/>
          <w:sz w:val="30"/>
          <w:szCs w:val="30"/>
        </w:rPr>
        <w:t>）的</w:t>
      </w:r>
      <w:r>
        <w:rPr>
          <w:rFonts w:ascii="仿宋" w:eastAsia="仿宋" w:hAnsi="仿宋" w:hint="eastAsia"/>
          <w:sz w:val="30"/>
          <w:szCs w:val="30"/>
        </w:rPr>
        <w:t>新股</w:t>
      </w:r>
      <w:r>
        <w:rPr>
          <w:rFonts w:ascii="仿宋" w:eastAsia="仿宋" w:hAnsi="仿宋"/>
          <w:sz w:val="30"/>
          <w:szCs w:val="30"/>
        </w:rPr>
        <w:t>申购并获配</w:t>
      </w:r>
      <w:r w:rsidR="00AF3D13" w:rsidRPr="002779BB">
        <w:rPr>
          <w:rFonts w:ascii="仿宋" w:eastAsia="仿宋" w:hAnsi="仿宋" w:hint="eastAsia"/>
          <w:sz w:val="30"/>
          <w:szCs w:val="30"/>
        </w:rPr>
        <w:t xml:space="preserve">。 </w:t>
      </w:r>
    </w:p>
    <w:p w:rsidR="00A71B85" w:rsidRPr="002779BB" w:rsidRDefault="00A71B85" w:rsidP="004A0567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  <w:r w:rsidRPr="002779BB">
        <w:rPr>
          <w:rFonts w:ascii="仿宋" w:eastAsia="仿宋" w:hAnsi="仿宋" w:hint="eastAsia"/>
          <w:sz w:val="30"/>
          <w:szCs w:val="30"/>
        </w:rPr>
        <w:t>现将本次获配情况公告如下：</w:t>
      </w:r>
    </w:p>
    <w:tbl>
      <w:tblPr>
        <w:tblStyle w:val="a3"/>
        <w:tblW w:w="8217" w:type="dxa"/>
        <w:jc w:val="center"/>
        <w:tblLayout w:type="fixed"/>
        <w:tblLook w:val="04A0"/>
      </w:tblPr>
      <w:tblGrid>
        <w:gridCol w:w="1271"/>
        <w:gridCol w:w="1271"/>
        <w:gridCol w:w="1281"/>
        <w:gridCol w:w="1060"/>
        <w:gridCol w:w="1198"/>
        <w:gridCol w:w="2136"/>
      </w:tblGrid>
      <w:tr w:rsidR="002779BB" w:rsidRPr="002779BB" w:rsidTr="00502FF6">
        <w:trPr>
          <w:trHeight w:val="351"/>
          <w:jc w:val="center"/>
        </w:trPr>
        <w:tc>
          <w:tcPr>
            <w:tcW w:w="1271" w:type="dxa"/>
            <w:vAlign w:val="center"/>
          </w:tcPr>
          <w:p w:rsidR="00A71B85" w:rsidRPr="002779BB" w:rsidRDefault="00A71B85" w:rsidP="006F1F1C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9BB">
              <w:rPr>
                <w:rFonts w:ascii="仿宋" w:eastAsia="仿宋" w:hAnsi="仿宋"/>
                <w:sz w:val="24"/>
                <w:szCs w:val="24"/>
              </w:rPr>
              <w:t>证券</w:t>
            </w:r>
            <w:r w:rsidR="00413BF5">
              <w:rPr>
                <w:rFonts w:ascii="仿宋" w:eastAsia="仿宋" w:hAnsi="仿宋" w:hint="eastAsia"/>
                <w:sz w:val="24"/>
                <w:szCs w:val="24"/>
              </w:rPr>
              <w:t>简</w:t>
            </w:r>
            <w:r w:rsidRPr="002779BB">
              <w:rPr>
                <w:rFonts w:ascii="仿宋" w:eastAsia="仿宋" w:hAnsi="仿宋"/>
                <w:sz w:val="24"/>
                <w:szCs w:val="24"/>
              </w:rPr>
              <w:t>称</w:t>
            </w:r>
          </w:p>
        </w:tc>
        <w:tc>
          <w:tcPr>
            <w:tcW w:w="1271" w:type="dxa"/>
            <w:vAlign w:val="center"/>
          </w:tcPr>
          <w:p w:rsidR="00A71B85" w:rsidRPr="002779BB" w:rsidRDefault="00A71B85" w:rsidP="006F1F1C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9BB">
              <w:rPr>
                <w:rFonts w:ascii="仿宋" w:eastAsia="仿宋" w:hAnsi="仿宋"/>
                <w:sz w:val="24"/>
                <w:szCs w:val="24"/>
              </w:rPr>
              <w:t>证券代码</w:t>
            </w:r>
          </w:p>
        </w:tc>
        <w:tc>
          <w:tcPr>
            <w:tcW w:w="1281" w:type="dxa"/>
            <w:vAlign w:val="center"/>
          </w:tcPr>
          <w:p w:rsidR="00A71B85" w:rsidRPr="002779BB" w:rsidRDefault="00A71B85" w:rsidP="006F1F1C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9BB">
              <w:rPr>
                <w:rFonts w:ascii="仿宋" w:eastAsia="仿宋" w:hAnsi="仿宋"/>
                <w:sz w:val="24"/>
                <w:szCs w:val="24"/>
              </w:rPr>
              <w:t>获配基金</w:t>
            </w:r>
          </w:p>
        </w:tc>
        <w:tc>
          <w:tcPr>
            <w:tcW w:w="1060" w:type="dxa"/>
            <w:vAlign w:val="center"/>
          </w:tcPr>
          <w:p w:rsidR="00A71B85" w:rsidRPr="002779BB" w:rsidRDefault="00A71B85" w:rsidP="006F1F1C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9BB">
              <w:rPr>
                <w:rFonts w:ascii="仿宋" w:eastAsia="仿宋" w:hAnsi="仿宋"/>
                <w:sz w:val="24"/>
                <w:szCs w:val="24"/>
              </w:rPr>
              <w:t>获配数量</w:t>
            </w:r>
            <w:r w:rsidRPr="002779BB">
              <w:rPr>
                <w:rFonts w:ascii="仿宋" w:eastAsia="仿宋" w:hAnsi="仿宋" w:hint="eastAsia"/>
                <w:sz w:val="24"/>
                <w:szCs w:val="24"/>
              </w:rPr>
              <w:t>（股）</w:t>
            </w:r>
          </w:p>
        </w:tc>
        <w:tc>
          <w:tcPr>
            <w:tcW w:w="1198" w:type="dxa"/>
            <w:vAlign w:val="center"/>
          </w:tcPr>
          <w:p w:rsidR="00A71B85" w:rsidRPr="002779BB" w:rsidRDefault="00A71B85" w:rsidP="006F1F1C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9BB">
              <w:rPr>
                <w:rFonts w:ascii="仿宋" w:eastAsia="仿宋" w:hAnsi="仿宋"/>
                <w:sz w:val="24"/>
                <w:szCs w:val="24"/>
              </w:rPr>
              <w:t>发行价格</w:t>
            </w:r>
            <w:r w:rsidRPr="002779BB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  <w:tc>
          <w:tcPr>
            <w:tcW w:w="2136" w:type="dxa"/>
            <w:vAlign w:val="center"/>
          </w:tcPr>
          <w:p w:rsidR="00A71B85" w:rsidRPr="002779BB" w:rsidRDefault="00A71B85" w:rsidP="006F1F1C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9BB">
              <w:rPr>
                <w:rFonts w:ascii="仿宋" w:eastAsia="仿宋" w:hAnsi="仿宋"/>
                <w:sz w:val="24"/>
                <w:szCs w:val="24"/>
              </w:rPr>
              <w:t>总金额</w:t>
            </w:r>
            <w:r w:rsidRPr="002779BB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</w:tr>
      <w:tr w:rsidR="002779BB" w:rsidRPr="002779BB" w:rsidTr="00CF3BF7">
        <w:trPr>
          <w:trHeight w:val="856"/>
          <w:jc w:val="center"/>
        </w:trPr>
        <w:tc>
          <w:tcPr>
            <w:tcW w:w="1271" w:type="dxa"/>
            <w:vAlign w:val="center"/>
          </w:tcPr>
          <w:p w:rsidR="00A71B85" w:rsidRPr="002779BB" w:rsidRDefault="008C2E45" w:rsidP="006F1F1C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2E45">
              <w:rPr>
                <w:rFonts w:ascii="仿宋" w:eastAsia="仿宋" w:hAnsi="仿宋" w:hint="eastAsia"/>
                <w:sz w:val="24"/>
                <w:szCs w:val="24"/>
              </w:rPr>
              <w:t>湖南裕能</w:t>
            </w:r>
          </w:p>
        </w:tc>
        <w:tc>
          <w:tcPr>
            <w:tcW w:w="1271" w:type="dxa"/>
            <w:vAlign w:val="center"/>
          </w:tcPr>
          <w:p w:rsidR="00A71B85" w:rsidRPr="002779BB" w:rsidRDefault="00FD3128" w:rsidP="007810A0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3128">
              <w:rPr>
                <w:rFonts w:ascii="仿宋" w:eastAsia="仿宋" w:hAnsi="仿宋"/>
                <w:sz w:val="24"/>
                <w:szCs w:val="24"/>
              </w:rPr>
              <w:t>301358</w:t>
            </w:r>
          </w:p>
        </w:tc>
        <w:tc>
          <w:tcPr>
            <w:tcW w:w="1281" w:type="dxa"/>
            <w:vAlign w:val="center"/>
          </w:tcPr>
          <w:p w:rsidR="00A71B85" w:rsidRPr="002779BB" w:rsidRDefault="003115F1" w:rsidP="006F1F1C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15F1">
              <w:rPr>
                <w:rFonts w:ascii="仿宋" w:eastAsia="仿宋" w:hAnsi="仿宋" w:hint="eastAsia"/>
                <w:sz w:val="24"/>
                <w:szCs w:val="24"/>
              </w:rPr>
              <w:t>九泰久睿量化股票型证券投资基金</w:t>
            </w:r>
          </w:p>
        </w:tc>
        <w:tc>
          <w:tcPr>
            <w:tcW w:w="1060" w:type="dxa"/>
            <w:vAlign w:val="center"/>
          </w:tcPr>
          <w:p w:rsidR="00A71B85" w:rsidRPr="00CE29BB" w:rsidRDefault="00766129" w:rsidP="00766129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DB6">
              <w:rPr>
                <w:rFonts w:ascii="仿宋" w:eastAsia="仿宋" w:hAnsi="仿宋"/>
                <w:sz w:val="24"/>
                <w:szCs w:val="24"/>
              </w:rPr>
              <w:t>3</w:t>
            </w:r>
            <w:r w:rsidR="00945D2C" w:rsidRPr="004A5DB6">
              <w:rPr>
                <w:rFonts w:ascii="仿宋" w:eastAsia="仿宋" w:hAnsi="仿宋"/>
                <w:sz w:val="24"/>
                <w:szCs w:val="24"/>
              </w:rPr>
              <w:t>,</w:t>
            </w:r>
            <w:r w:rsidRPr="004A5DB6">
              <w:rPr>
                <w:rFonts w:ascii="仿宋" w:eastAsia="仿宋" w:hAnsi="仿宋"/>
                <w:sz w:val="24"/>
                <w:szCs w:val="24"/>
              </w:rPr>
              <w:t>625</w:t>
            </w:r>
          </w:p>
        </w:tc>
        <w:tc>
          <w:tcPr>
            <w:tcW w:w="1198" w:type="dxa"/>
            <w:vAlign w:val="center"/>
          </w:tcPr>
          <w:p w:rsidR="00A71B85" w:rsidRPr="00CE29BB" w:rsidRDefault="008C2E45" w:rsidP="005622EB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2E45">
              <w:rPr>
                <w:rFonts w:ascii="仿宋" w:eastAsia="仿宋" w:hAnsi="仿宋"/>
                <w:sz w:val="24"/>
                <w:szCs w:val="24"/>
              </w:rPr>
              <w:t>23.77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23F1F" w:rsidRPr="00CE29BB" w:rsidRDefault="00766129" w:rsidP="00766129"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8DD">
              <w:rPr>
                <w:rFonts w:ascii="仿宋" w:eastAsia="仿宋" w:hAnsi="仿宋"/>
                <w:sz w:val="24"/>
                <w:szCs w:val="24"/>
              </w:rPr>
              <w:t>86</w:t>
            </w:r>
            <w:r w:rsidR="00945D2C" w:rsidRPr="009C38DD">
              <w:rPr>
                <w:rFonts w:ascii="仿宋" w:eastAsia="仿宋" w:hAnsi="仿宋"/>
                <w:sz w:val="24"/>
                <w:szCs w:val="24"/>
              </w:rPr>
              <w:t>,</w:t>
            </w:r>
            <w:r w:rsidRPr="009C38DD">
              <w:rPr>
                <w:rFonts w:ascii="仿宋" w:eastAsia="仿宋" w:hAnsi="仿宋"/>
                <w:sz w:val="24"/>
                <w:szCs w:val="24"/>
              </w:rPr>
              <w:t>166</w:t>
            </w:r>
            <w:r w:rsidR="00945D2C" w:rsidRPr="009C38DD">
              <w:rPr>
                <w:rFonts w:ascii="仿宋" w:eastAsia="仿宋" w:hAnsi="仿宋"/>
                <w:sz w:val="24"/>
                <w:szCs w:val="24"/>
              </w:rPr>
              <w:t>.</w:t>
            </w:r>
            <w:r w:rsidRPr="009C38DD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</w:tr>
    </w:tbl>
    <w:p w:rsidR="002779BB" w:rsidRPr="002779BB" w:rsidRDefault="00A71B85" w:rsidP="002779BB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  <w:r w:rsidRPr="002779BB">
        <w:rPr>
          <w:rFonts w:ascii="仿宋" w:eastAsia="仿宋" w:hAnsi="仿宋" w:hint="eastAsia"/>
          <w:sz w:val="30"/>
          <w:szCs w:val="30"/>
        </w:rPr>
        <w:t>本次发行过程公开透明，交易价格公允，本公司严格按照法律法规和本基金基金合同约定，履行相关程序，不存在利益输送情况。</w:t>
      </w:r>
    </w:p>
    <w:p w:rsidR="002779BB" w:rsidRPr="002779BB" w:rsidRDefault="002779BB" w:rsidP="002779BB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</w:p>
    <w:p w:rsidR="00C91568" w:rsidRPr="002779BB" w:rsidRDefault="00C91568" w:rsidP="00C91568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  <w:r w:rsidRPr="006153AA">
        <w:rPr>
          <w:rFonts w:ascii="仿宋" w:eastAsia="仿宋" w:hAnsi="仿宋" w:hint="eastAsia"/>
          <w:sz w:val="30"/>
          <w:szCs w:val="30"/>
        </w:rPr>
        <w:lastRenderedPageBreak/>
        <w:t>风险提示：基金管理人承诺以诚实信用、勤勉尽责的原则管理和运用基金资产，但不保证基金一定盈利，也不保证最低收益。基金的过往业绩及其净值高低并不预示其未来业绩表现，基金管理人管理的其他基金的业绩并不构成对基金业绩表现的保证。本基金管理人提醒投资者基金投资的“买者自负”原则，在做出投资决策后，基金运营状况与基金净值变化引致的投资风险，由投资者自行负担。投资者投资于本基金时应认真阅读本基金的基金合同、招募说明书、基金产品资料概要、临时公告等资料，全面认识本基金的风险收益特征和产品特性，并充分考虑自身的风险承受能力，理性判断市场，谨慎做出投资决策。</w:t>
      </w:r>
    </w:p>
    <w:p w:rsidR="00C91568" w:rsidRPr="002779BB" w:rsidRDefault="00C91568" w:rsidP="00C91568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  <w:r w:rsidRPr="002779BB">
        <w:rPr>
          <w:rFonts w:ascii="仿宋" w:eastAsia="仿宋" w:hAnsi="仿宋" w:hint="eastAsia"/>
          <w:sz w:val="30"/>
          <w:szCs w:val="30"/>
        </w:rPr>
        <w:t>特此公告。</w:t>
      </w:r>
    </w:p>
    <w:p w:rsidR="00A71B85" w:rsidRPr="002779BB" w:rsidRDefault="00A71B85" w:rsidP="002779BB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</w:p>
    <w:p w:rsidR="00A71B85" w:rsidRPr="002779BB" w:rsidRDefault="00A71B85" w:rsidP="002779BB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</w:p>
    <w:p w:rsidR="00A71B85" w:rsidRPr="002779BB" w:rsidRDefault="00A71B85" w:rsidP="002779BB">
      <w:pPr>
        <w:widowControl/>
        <w:shd w:val="clear" w:color="auto" w:fill="FFFFFF"/>
        <w:spacing w:line="390" w:lineRule="atLeast"/>
        <w:ind w:firstLine="600"/>
        <w:jc w:val="right"/>
        <w:rPr>
          <w:rFonts w:ascii="仿宋" w:eastAsia="仿宋" w:hAnsi="仿宋"/>
          <w:sz w:val="30"/>
          <w:szCs w:val="30"/>
        </w:rPr>
      </w:pPr>
      <w:r w:rsidRPr="002779BB">
        <w:rPr>
          <w:rFonts w:ascii="仿宋" w:eastAsia="仿宋" w:hAnsi="仿宋" w:hint="eastAsia"/>
          <w:sz w:val="30"/>
          <w:szCs w:val="30"/>
        </w:rPr>
        <w:t>九泰基金管理有限公司</w:t>
      </w:r>
    </w:p>
    <w:p w:rsidR="00302798" w:rsidRPr="002779BB" w:rsidRDefault="00302798" w:rsidP="002779BB">
      <w:pPr>
        <w:widowControl/>
        <w:shd w:val="clear" w:color="auto" w:fill="FFFFFF"/>
        <w:spacing w:line="390" w:lineRule="atLeast"/>
        <w:ind w:firstLine="600"/>
        <w:jc w:val="right"/>
        <w:rPr>
          <w:rFonts w:ascii="仿宋" w:eastAsia="仿宋" w:hAnsi="仿宋"/>
          <w:sz w:val="30"/>
          <w:szCs w:val="30"/>
        </w:rPr>
      </w:pPr>
      <w:r w:rsidRPr="002779BB">
        <w:rPr>
          <w:rFonts w:ascii="仿宋" w:eastAsia="仿宋" w:hAnsi="仿宋" w:hint="eastAsia"/>
          <w:sz w:val="30"/>
          <w:szCs w:val="30"/>
        </w:rPr>
        <w:t xml:space="preserve"> </w:t>
      </w:r>
      <w:r w:rsidR="00913DC9">
        <w:rPr>
          <w:rFonts w:ascii="仿宋" w:eastAsia="仿宋" w:hAnsi="仿宋"/>
          <w:sz w:val="30"/>
          <w:szCs w:val="30"/>
        </w:rPr>
        <w:t>202</w:t>
      </w:r>
      <w:r w:rsidR="008C2E45">
        <w:rPr>
          <w:rFonts w:ascii="仿宋" w:eastAsia="仿宋" w:hAnsi="仿宋"/>
          <w:sz w:val="30"/>
          <w:szCs w:val="30"/>
        </w:rPr>
        <w:t>3</w:t>
      </w:r>
      <w:r w:rsidR="00913DC9" w:rsidRPr="002779BB">
        <w:rPr>
          <w:rFonts w:ascii="仿宋" w:eastAsia="仿宋" w:hAnsi="仿宋"/>
          <w:sz w:val="30"/>
          <w:szCs w:val="30"/>
        </w:rPr>
        <w:t>年</w:t>
      </w:r>
      <w:r w:rsidR="00C91568">
        <w:rPr>
          <w:rFonts w:ascii="仿宋" w:eastAsia="仿宋" w:hAnsi="仿宋"/>
          <w:sz w:val="30"/>
          <w:szCs w:val="30"/>
        </w:rPr>
        <w:t>2</w:t>
      </w:r>
      <w:r w:rsidR="00913DC9" w:rsidRPr="002779BB">
        <w:rPr>
          <w:rFonts w:ascii="仿宋" w:eastAsia="仿宋" w:hAnsi="仿宋"/>
          <w:sz w:val="30"/>
          <w:szCs w:val="30"/>
        </w:rPr>
        <w:t>月</w:t>
      </w:r>
      <w:r w:rsidR="00E17C40">
        <w:rPr>
          <w:rFonts w:ascii="仿宋" w:eastAsia="仿宋" w:hAnsi="仿宋"/>
          <w:sz w:val="30"/>
          <w:szCs w:val="30"/>
        </w:rPr>
        <w:t>2</w:t>
      </w:r>
      <w:bookmarkStart w:id="0" w:name="_GoBack"/>
      <w:bookmarkEnd w:id="0"/>
      <w:r w:rsidRPr="002779BB">
        <w:rPr>
          <w:rFonts w:ascii="仿宋" w:eastAsia="仿宋" w:hAnsi="仿宋"/>
          <w:sz w:val="30"/>
          <w:szCs w:val="30"/>
        </w:rPr>
        <w:t>日</w:t>
      </w:r>
    </w:p>
    <w:p w:rsidR="00AF3D13" w:rsidRPr="002779BB" w:rsidRDefault="00AF3D13" w:rsidP="002779BB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</w:p>
    <w:p w:rsidR="00AF3D13" w:rsidRPr="002779BB" w:rsidRDefault="00AF3D13" w:rsidP="002779BB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</w:p>
    <w:p w:rsidR="00AF3D13" w:rsidRPr="002779BB" w:rsidRDefault="00AF3D13" w:rsidP="002779BB">
      <w:pPr>
        <w:widowControl/>
        <w:shd w:val="clear" w:color="auto" w:fill="FFFFFF"/>
        <w:spacing w:line="390" w:lineRule="atLeast"/>
        <w:ind w:firstLine="600"/>
        <w:rPr>
          <w:rFonts w:ascii="仿宋" w:eastAsia="仿宋" w:hAnsi="仿宋"/>
          <w:sz w:val="30"/>
          <w:szCs w:val="30"/>
        </w:rPr>
      </w:pPr>
    </w:p>
    <w:sectPr w:rsidR="00AF3D13" w:rsidRPr="002779BB" w:rsidSect="00417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25" w:rsidRDefault="00E90925" w:rsidP="00B7109B">
      <w:r>
        <w:separator/>
      </w:r>
    </w:p>
  </w:endnote>
  <w:endnote w:type="continuationSeparator" w:id="0">
    <w:p w:rsidR="00E90925" w:rsidRDefault="00E90925" w:rsidP="00B7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25" w:rsidRDefault="00E90925" w:rsidP="00B7109B">
      <w:r>
        <w:separator/>
      </w:r>
    </w:p>
  </w:footnote>
  <w:footnote w:type="continuationSeparator" w:id="0">
    <w:p w:rsidR="00E90925" w:rsidRDefault="00E90925" w:rsidP="00B71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EB2"/>
    <w:rsid w:val="000251A3"/>
    <w:rsid w:val="0003421F"/>
    <w:rsid w:val="00037419"/>
    <w:rsid w:val="000636DF"/>
    <w:rsid w:val="000C0D8C"/>
    <w:rsid w:val="000F3986"/>
    <w:rsid w:val="00125DC7"/>
    <w:rsid w:val="001709BB"/>
    <w:rsid w:val="00180EDC"/>
    <w:rsid w:val="00195FE7"/>
    <w:rsid w:val="001D0AA2"/>
    <w:rsid w:val="001D1ED5"/>
    <w:rsid w:val="00201324"/>
    <w:rsid w:val="0023269C"/>
    <w:rsid w:val="002643A7"/>
    <w:rsid w:val="002779BB"/>
    <w:rsid w:val="00290727"/>
    <w:rsid w:val="00293B90"/>
    <w:rsid w:val="002D2174"/>
    <w:rsid w:val="002E56DF"/>
    <w:rsid w:val="002E7D8E"/>
    <w:rsid w:val="00302798"/>
    <w:rsid w:val="003115F1"/>
    <w:rsid w:val="003447ED"/>
    <w:rsid w:val="00354800"/>
    <w:rsid w:val="00360BD0"/>
    <w:rsid w:val="003C50A8"/>
    <w:rsid w:val="003C71B3"/>
    <w:rsid w:val="00404585"/>
    <w:rsid w:val="00406158"/>
    <w:rsid w:val="00413BF5"/>
    <w:rsid w:val="00417F94"/>
    <w:rsid w:val="00420EB2"/>
    <w:rsid w:val="00444B5A"/>
    <w:rsid w:val="00447B2B"/>
    <w:rsid w:val="0045414E"/>
    <w:rsid w:val="004A0567"/>
    <w:rsid w:val="004A5DB6"/>
    <w:rsid w:val="00502FF6"/>
    <w:rsid w:val="005130A9"/>
    <w:rsid w:val="00527FDE"/>
    <w:rsid w:val="005335B5"/>
    <w:rsid w:val="005622EB"/>
    <w:rsid w:val="005847D0"/>
    <w:rsid w:val="00587B1F"/>
    <w:rsid w:val="005C3EC1"/>
    <w:rsid w:val="006156A3"/>
    <w:rsid w:val="006749A8"/>
    <w:rsid w:val="00681C31"/>
    <w:rsid w:val="006958D8"/>
    <w:rsid w:val="006C15F2"/>
    <w:rsid w:val="006D0094"/>
    <w:rsid w:val="006F1F1C"/>
    <w:rsid w:val="007039FF"/>
    <w:rsid w:val="00705AB1"/>
    <w:rsid w:val="00732BCD"/>
    <w:rsid w:val="00733DEC"/>
    <w:rsid w:val="00740A46"/>
    <w:rsid w:val="00766129"/>
    <w:rsid w:val="00771B7E"/>
    <w:rsid w:val="007760AE"/>
    <w:rsid w:val="007810A0"/>
    <w:rsid w:val="007C3BF9"/>
    <w:rsid w:val="007C4770"/>
    <w:rsid w:val="007E63D2"/>
    <w:rsid w:val="0080740D"/>
    <w:rsid w:val="00861CDB"/>
    <w:rsid w:val="00863138"/>
    <w:rsid w:val="00871222"/>
    <w:rsid w:val="008A07CF"/>
    <w:rsid w:val="008A097D"/>
    <w:rsid w:val="008B2D84"/>
    <w:rsid w:val="008C2E45"/>
    <w:rsid w:val="008D2109"/>
    <w:rsid w:val="008E780E"/>
    <w:rsid w:val="008F225D"/>
    <w:rsid w:val="00913DC9"/>
    <w:rsid w:val="00916E26"/>
    <w:rsid w:val="00921E78"/>
    <w:rsid w:val="00945D2C"/>
    <w:rsid w:val="00972613"/>
    <w:rsid w:val="009C38DD"/>
    <w:rsid w:val="00A035C3"/>
    <w:rsid w:val="00A2220F"/>
    <w:rsid w:val="00A2695D"/>
    <w:rsid w:val="00A71B85"/>
    <w:rsid w:val="00A806E3"/>
    <w:rsid w:val="00A90525"/>
    <w:rsid w:val="00AB142F"/>
    <w:rsid w:val="00AE0CDB"/>
    <w:rsid w:val="00AF31F3"/>
    <w:rsid w:val="00AF3D13"/>
    <w:rsid w:val="00B024CB"/>
    <w:rsid w:val="00B046F6"/>
    <w:rsid w:val="00B52255"/>
    <w:rsid w:val="00B7109B"/>
    <w:rsid w:val="00BA09BE"/>
    <w:rsid w:val="00BF387A"/>
    <w:rsid w:val="00BF5B29"/>
    <w:rsid w:val="00C23F1F"/>
    <w:rsid w:val="00C415EC"/>
    <w:rsid w:val="00C91568"/>
    <w:rsid w:val="00C97F1D"/>
    <w:rsid w:val="00CE29BB"/>
    <w:rsid w:val="00CF3BF7"/>
    <w:rsid w:val="00D22BB5"/>
    <w:rsid w:val="00D37339"/>
    <w:rsid w:val="00D524EC"/>
    <w:rsid w:val="00D92C3F"/>
    <w:rsid w:val="00D92C7A"/>
    <w:rsid w:val="00DB0EF3"/>
    <w:rsid w:val="00DB3E73"/>
    <w:rsid w:val="00DF22A3"/>
    <w:rsid w:val="00E17C40"/>
    <w:rsid w:val="00E443B4"/>
    <w:rsid w:val="00E53A77"/>
    <w:rsid w:val="00E55393"/>
    <w:rsid w:val="00E70D6A"/>
    <w:rsid w:val="00E90925"/>
    <w:rsid w:val="00EC48D6"/>
    <w:rsid w:val="00F01250"/>
    <w:rsid w:val="00F0415E"/>
    <w:rsid w:val="00F35EF3"/>
    <w:rsid w:val="00F805BB"/>
    <w:rsid w:val="00F840F4"/>
    <w:rsid w:val="00F967D1"/>
    <w:rsid w:val="00FB1535"/>
    <w:rsid w:val="00FD3128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C47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477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1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10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1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109B"/>
    <w:rPr>
      <w:sz w:val="18"/>
      <w:szCs w:val="18"/>
    </w:rPr>
  </w:style>
  <w:style w:type="character" w:customStyle="1" w:styleId="fontstyle01">
    <w:name w:val="fontstyle01"/>
    <w:basedOn w:val="a0"/>
    <w:rsid w:val="002643A7"/>
    <w:rPr>
      <w:rFonts w:ascii="宋体" w:eastAsia="宋体" w:hAnsi="宋体" w:hint="eastAsia"/>
      <w:b w:val="0"/>
      <w:bCs w:val="0"/>
      <w:i w:val="0"/>
      <w:iCs w:val="0"/>
      <w:color w:val="FF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4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九泰基金</dc:creator>
  <cp:keywords/>
  <dc:description/>
  <cp:lastModifiedBy>ZHONGM</cp:lastModifiedBy>
  <cp:revision>2</cp:revision>
  <dcterms:created xsi:type="dcterms:W3CDTF">2023-02-01T16:01:00Z</dcterms:created>
  <dcterms:modified xsi:type="dcterms:W3CDTF">2023-02-01T16:01:00Z</dcterms:modified>
</cp:coreProperties>
</file>