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E8" w:rsidRPr="005E3FE8" w:rsidRDefault="005E3FE8" w:rsidP="005E3FE8">
      <w:pPr>
        <w:spacing w:line="360" w:lineRule="auto"/>
        <w:jc w:val="center"/>
        <w:rPr>
          <w:rFonts w:ascii="Times New Roman" w:hAnsi="Times New Roman"/>
          <w:b/>
          <w:sz w:val="30"/>
          <w:szCs w:val="30"/>
        </w:rPr>
      </w:pPr>
      <w:bookmarkStart w:id="0" w:name="_GoBack"/>
      <w:bookmarkEnd w:id="0"/>
      <w:r w:rsidRPr="005E3FE8">
        <w:rPr>
          <w:rFonts w:ascii="Times New Roman" w:hAnsi="Times New Roman" w:hint="eastAsia"/>
          <w:b/>
          <w:sz w:val="30"/>
          <w:szCs w:val="30"/>
        </w:rPr>
        <w:t>富国基金管理有限公司关于旗下基金投资关联方承销期内承销证券的公告</w:t>
      </w:r>
    </w:p>
    <w:p w:rsidR="005E3FE8" w:rsidRPr="005E3FE8" w:rsidRDefault="005E3FE8" w:rsidP="005E3FE8">
      <w:pPr>
        <w:spacing w:line="360" w:lineRule="auto"/>
        <w:ind w:firstLineChars="200" w:firstLine="480"/>
        <w:rPr>
          <w:rFonts w:ascii="Times New Roman" w:hAnsi="Times New Roman"/>
          <w:sz w:val="24"/>
          <w:szCs w:val="24"/>
        </w:rPr>
      </w:pPr>
    </w:p>
    <w:p w:rsidR="00F03BF7"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中华人民共和国证券投资基金法》《公开募集证券投资基金运作管理办法》《公开募集证券投资基金信息披露管理办法》及相关基金基金合同、招募说明书等有关规定，经履行适当审批程序，富国基金管理有限公司（“本公司”）旗下部分基金参与了</w:t>
      </w:r>
      <w:r w:rsidR="003A5077" w:rsidRPr="003A5077">
        <w:rPr>
          <w:rFonts w:ascii="Times New Roman" w:hAnsi="Times New Roman" w:hint="eastAsia"/>
          <w:sz w:val="24"/>
          <w:szCs w:val="24"/>
        </w:rPr>
        <w:t>裕太微电子股份有限公司</w:t>
      </w:r>
      <w:r w:rsidR="006A3BDD">
        <w:rPr>
          <w:rFonts w:ascii="Times New Roman" w:hAnsi="Times New Roman" w:hint="eastAsia"/>
          <w:sz w:val="24"/>
          <w:szCs w:val="24"/>
        </w:rPr>
        <w:t>（“</w:t>
      </w:r>
      <w:r w:rsidR="003A5077" w:rsidRPr="003A5077">
        <w:rPr>
          <w:rFonts w:ascii="Times New Roman" w:hAnsi="Times New Roman" w:hint="eastAsia"/>
          <w:sz w:val="24"/>
          <w:szCs w:val="24"/>
        </w:rPr>
        <w:t>裕太微</w:t>
      </w:r>
      <w:r w:rsidR="006A3BDD">
        <w:rPr>
          <w:rFonts w:ascii="Times New Roman" w:hAnsi="Times New Roman" w:hint="eastAsia"/>
          <w:sz w:val="24"/>
          <w:szCs w:val="24"/>
        </w:rPr>
        <w:t>”，交易代码</w:t>
      </w:r>
      <w:r w:rsidR="00495E8B" w:rsidRPr="00F041B0">
        <w:rPr>
          <w:rFonts w:ascii="Arial" w:hAnsi="Arial" w:cs="Arial"/>
          <w:sz w:val="24"/>
          <w:szCs w:val="24"/>
        </w:rPr>
        <w:t>688</w:t>
      </w:r>
      <w:r w:rsidR="003A5077">
        <w:rPr>
          <w:rFonts w:ascii="Arial" w:hAnsi="Arial" w:cs="Arial" w:hint="eastAsia"/>
          <w:sz w:val="24"/>
          <w:szCs w:val="24"/>
        </w:rPr>
        <w:t>515</w:t>
      </w:r>
      <w:r w:rsidR="00F40C1D">
        <w:rPr>
          <w:rFonts w:ascii="Times New Roman" w:hAnsi="Times New Roman" w:hint="eastAsia"/>
          <w:sz w:val="24"/>
          <w:szCs w:val="24"/>
        </w:rPr>
        <w:t>）</w:t>
      </w:r>
      <w:r w:rsidRPr="005E3FE8">
        <w:rPr>
          <w:rFonts w:ascii="Times New Roman" w:hAnsi="Times New Roman" w:hint="eastAsia"/>
          <w:sz w:val="24"/>
          <w:szCs w:val="24"/>
        </w:rPr>
        <w:t>首次公开发行股票并在</w:t>
      </w:r>
      <w:r w:rsidR="00DC55BA">
        <w:rPr>
          <w:rFonts w:ascii="Times New Roman" w:hAnsi="Times New Roman" w:hint="eastAsia"/>
          <w:sz w:val="24"/>
          <w:szCs w:val="24"/>
        </w:rPr>
        <w:t>科创</w:t>
      </w:r>
      <w:r w:rsidR="00276541">
        <w:rPr>
          <w:rFonts w:ascii="Times New Roman" w:hAnsi="Times New Roman" w:hint="eastAsia"/>
          <w:sz w:val="24"/>
          <w:szCs w:val="24"/>
        </w:rPr>
        <w:t>板</w:t>
      </w:r>
      <w:r w:rsidRPr="005E3FE8">
        <w:rPr>
          <w:rFonts w:ascii="Times New Roman" w:hAnsi="Times New Roman" w:hint="eastAsia"/>
          <w:sz w:val="24"/>
          <w:szCs w:val="24"/>
        </w:rPr>
        <w:t>上市（“本次发行”）的网下申购，</w:t>
      </w:r>
      <w:r w:rsidR="00441810">
        <w:rPr>
          <w:rFonts w:ascii="Times New Roman" w:hAnsi="Times New Roman" w:hint="eastAsia"/>
          <w:sz w:val="24"/>
          <w:szCs w:val="24"/>
        </w:rPr>
        <w:t>本</w:t>
      </w:r>
      <w:r w:rsidR="00441810" w:rsidRPr="003023BB">
        <w:rPr>
          <w:rFonts w:ascii="Times New Roman" w:hAnsi="Times New Roman"/>
          <w:sz w:val="24"/>
          <w:szCs w:val="24"/>
        </w:rPr>
        <w:t>公司股东</w:t>
      </w:r>
      <w:r w:rsidR="003F4E54" w:rsidRPr="003F4E54">
        <w:rPr>
          <w:rFonts w:ascii="Times New Roman" w:hAnsi="Times New Roman" w:hint="eastAsia"/>
          <w:sz w:val="24"/>
          <w:szCs w:val="24"/>
        </w:rPr>
        <w:t>海通证券股份有限公司</w:t>
      </w:r>
      <w:r w:rsidR="00441810" w:rsidRPr="003023BB">
        <w:rPr>
          <w:rFonts w:ascii="Times New Roman" w:hAnsi="Times New Roman" w:hint="eastAsia"/>
          <w:sz w:val="24"/>
          <w:szCs w:val="24"/>
        </w:rPr>
        <w:t>为本次发行的主承销商</w:t>
      </w:r>
      <w:r w:rsidRPr="005E3FE8">
        <w:rPr>
          <w:rFonts w:ascii="Times New Roman" w:hAnsi="Times New Roman" w:hint="eastAsia"/>
          <w:sz w:val="24"/>
          <w:szCs w:val="24"/>
        </w:rPr>
        <w:t>。本次发行价格为</w:t>
      </w:r>
      <w:r w:rsidR="003A5077">
        <w:rPr>
          <w:rFonts w:ascii="Times New Roman" w:hAnsi="Times New Roman" w:hint="eastAsia"/>
          <w:sz w:val="24"/>
          <w:szCs w:val="24"/>
        </w:rPr>
        <w:t>92</w:t>
      </w:r>
      <w:r w:rsidR="00964E05">
        <w:rPr>
          <w:rFonts w:ascii="Arial" w:hAnsi="Arial" w:cs="Arial"/>
          <w:sz w:val="24"/>
        </w:rPr>
        <w:t>.00</w:t>
      </w:r>
      <w:r w:rsidRPr="005E3FE8">
        <w:rPr>
          <w:rFonts w:ascii="Times New Roman" w:hAnsi="Times New Roman" w:hint="eastAsia"/>
          <w:sz w:val="24"/>
          <w:szCs w:val="24"/>
        </w:rPr>
        <w:t>元</w:t>
      </w:r>
      <w:r w:rsidRPr="005E3FE8">
        <w:rPr>
          <w:rFonts w:ascii="Times New Roman" w:hAnsi="Times New Roman" w:hint="eastAsia"/>
          <w:sz w:val="24"/>
          <w:szCs w:val="24"/>
        </w:rPr>
        <w:t>/</w:t>
      </w:r>
      <w:r w:rsidRPr="005E3FE8">
        <w:rPr>
          <w:rFonts w:ascii="Times New Roman" w:hAnsi="Times New Roman" w:hint="eastAsia"/>
          <w:sz w:val="24"/>
          <w:szCs w:val="24"/>
        </w:rPr>
        <w:t>股，由发行人和主承销商根据初步询价结果，综合考虑发行人基本面、本次公开发行的股份数量、发行人所处行业、可比上市公司估值水平、市场情况、募集资金需求以及承销风险等因素后协商确定。</w:t>
      </w:r>
    </w:p>
    <w:p w:rsidR="00F97831"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根据法律法规、基金合同及</w:t>
      </w:r>
      <w:r w:rsidR="003A5077" w:rsidRPr="003A5077">
        <w:rPr>
          <w:rFonts w:ascii="Times New Roman" w:hAnsi="Times New Roman" w:hint="eastAsia"/>
          <w:sz w:val="24"/>
          <w:szCs w:val="24"/>
        </w:rPr>
        <w:t>裕太微</w:t>
      </w:r>
      <w:r w:rsidRPr="005E3FE8">
        <w:rPr>
          <w:rFonts w:ascii="Times New Roman" w:hAnsi="Times New Roman" w:hint="eastAsia"/>
          <w:sz w:val="24"/>
          <w:szCs w:val="24"/>
        </w:rPr>
        <w:t>于</w:t>
      </w:r>
      <w:r w:rsidR="003F4E54" w:rsidRPr="005E3FE8">
        <w:rPr>
          <w:rFonts w:ascii="Times New Roman" w:hAnsi="Times New Roman" w:hint="eastAsia"/>
          <w:sz w:val="24"/>
          <w:szCs w:val="24"/>
        </w:rPr>
        <w:t>202</w:t>
      </w:r>
      <w:r w:rsidR="003A5077">
        <w:rPr>
          <w:rFonts w:ascii="Times New Roman" w:hAnsi="Times New Roman" w:hint="eastAsia"/>
          <w:sz w:val="24"/>
          <w:szCs w:val="24"/>
        </w:rPr>
        <w:t>3</w:t>
      </w:r>
      <w:r w:rsidR="003F4E54" w:rsidRPr="005E3FE8">
        <w:rPr>
          <w:rFonts w:ascii="Times New Roman" w:hAnsi="Times New Roman" w:hint="eastAsia"/>
          <w:sz w:val="24"/>
          <w:szCs w:val="24"/>
        </w:rPr>
        <w:t>年</w:t>
      </w:r>
      <w:r w:rsidR="003A5077">
        <w:rPr>
          <w:rFonts w:ascii="Times New Roman" w:hAnsi="Times New Roman" w:hint="eastAsia"/>
          <w:sz w:val="24"/>
          <w:szCs w:val="24"/>
        </w:rPr>
        <w:t>2</w:t>
      </w:r>
      <w:r w:rsidRPr="005E3FE8">
        <w:rPr>
          <w:rFonts w:ascii="Times New Roman" w:hAnsi="Times New Roman" w:hint="eastAsia"/>
          <w:sz w:val="24"/>
          <w:szCs w:val="24"/>
        </w:rPr>
        <w:t>月</w:t>
      </w:r>
      <w:r w:rsidR="003A5077">
        <w:rPr>
          <w:rFonts w:ascii="Times New Roman" w:hAnsi="Times New Roman" w:hint="eastAsia"/>
          <w:sz w:val="24"/>
          <w:szCs w:val="24"/>
        </w:rPr>
        <w:t>1</w:t>
      </w:r>
      <w:r w:rsidRPr="005E3FE8">
        <w:rPr>
          <w:rFonts w:ascii="Times New Roman" w:hAnsi="Times New Roman" w:hint="eastAsia"/>
          <w:sz w:val="24"/>
          <w:szCs w:val="24"/>
        </w:rPr>
        <w:t>日发布的</w:t>
      </w:r>
      <w:r w:rsidR="00F40C1D">
        <w:rPr>
          <w:rFonts w:ascii="Times New Roman" w:hAnsi="Times New Roman" w:hint="eastAsia"/>
          <w:sz w:val="24"/>
          <w:szCs w:val="24"/>
        </w:rPr>
        <w:t>《</w:t>
      </w:r>
      <w:r w:rsidR="003A5077" w:rsidRPr="003A5077">
        <w:rPr>
          <w:rFonts w:ascii="Times New Roman" w:hAnsi="Times New Roman" w:hint="eastAsia"/>
          <w:sz w:val="24"/>
          <w:szCs w:val="24"/>
        </w:rPr>
        <w:t>裕太微电子股份有限公司</w:t>
      </w:r>
      <w:r w:rsidR="00B3782B" w:rsidRPr="00B3782B">
        <w:rPr>
          <w:rFonts w:ascii="Times New Roman" w:hAnsi="Times New Roman" w:hint="eastAsia"/>
          <w:sz w:val="24"/>
          <w:szCs w:val="24"/>
        </w:rPr>
        <w:t>首次公开发行股票并在科创板上市网下初步配售结果及网上中签结果公告</w:t>
      </w:r>
      <w:r w:rsidR="00F40C1D">
        <w:rPr>
          <w:rFonts w:ascii="Times New Roman" w:hAnsi="Times New Roman" w:hint="eastAsia"/>
          <w:sz w:val="24"/>
          <w:szCs w:val="24"/>
        </w:rPr>
        <w:t>》</w:t>
      </w:r>
      <w:r w:rsidRPr="005E3FE8">
        <w:rPr>
          <w:rFonts w:ascii="Times New Roman" w:hAnsi="Times New Roman" w:hint="eastAsia"/>
          <w:sz w:val="24"/>
          <w:szCs w:val="24"/>
        </w:rPr>
        <w:t>，现将本公司旗下基金获配信息公告如下：</w:t>
      </w:r>
    </w:p>
    <w:tbl>
      <w:tblPr>
        <w:tblW w:w="8364" w:type="dxa"/>
        <w:tblInd w:w="-5" w:type="dxa"/>
        <w:tblLook w:val="04A0"/>
      </w:tblPr>
      <w:tblGrid>
        <w:gridCol w:w="3119"/>
        <w:gridCol w:w="1134"/>
        <w:gridCol w:w="1276"/>
        <w:gridCol w:w="1273"/>
        <w:gridCol w:w="1562"/>
      </w:tblGrid>
      <w:tr w:rsidR="00BB79E0" w:rsidRPr="00BB79E0" w:rsidTr="00BB79E0">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9E0" w:rsidRPr="00BB79E0" w:rsidRDefault="00BB79E0" w:rsidP="00BB79E0">
            <w:pPr>
              <w:widowControl/>
              <w:rPr>
                <w:rFonts w:ascii="Arial" w:eastAsia="宋体" w:hAnsi="Arial" w:cs="Arial"/>
                <w:b/>
                <w:bCs/>
                <w:color w:val="000000"/>
                <w:kern w:val="0"/>
                <w:szCs w:val="21"/>
              </w:rPr>
            </w:pPr>
            <w:r w:rsidRPr="00BB79E0">
              <w:rPr>
                <w:rFonts w:ascii="Arial" w:eastAsia="宋体" w:hAnsi="Arial" w:cs="Arial"/>
                <w:b/>
                <w:bCs/>
                <w:color w:val="000000"/>
                <w:kern w:val="0"/>
                <w:szCs w:val="21"/>
              </w:rPr>
              <w:t>基金名称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79E0" w:rsidRPr="00BB79E0" w:rsidRDefault="00BB79E0" w:rsidP="00BB79E0">
            <w:pPr>
              <w:widowControl/>
              <w:rPr>
                <w:rFonts w:ascii="Arial" w:eastAsia="宋体" w:hAnsi="Arial" w:cs="Arial"/>
                <w:b/>
                <w:bCs/>
                <w:color w:val="000000"/>
                <w:kern w:val="0"/>
                <w:szCs w:val="21"/>
              </w:rPr>
            </w:pPr>
            <w:r w:rsidRPr="00BB79E0">
              <w:rPr>
                <w:rFonts w:ascii="Arial" w:eastAsia="宋体" w:hAnsi="Arial" w:cs="Arial"/>
                <w:b/>
                <w:bCs/>
                <w:color w:val="000000"/>
                <w:kern w:val="0"/>
                <w:szCs w:val="21"/>
              </w:rPr>
              <w:t xml:space="preserve"> </w:t>
            </w:r>
            <w:r w:rsidRPr="00BB79E0">
              <w:rPr>
                <w:rFonts w:ascii="Arial" w:eastAsia="宋体" w:hAnsi="Arial" w:cs="Arial"/>
                <w:b/>
                <w:bCs/>
                <w:color w:val="000000"/>
                <w:kern w:val="0"/>
                <w:szCs w:val="21"/>
              </w:rPr>
              <w:t>获配数量（股）</w:t>
            </w:r>
            <w:r w:rsidRPr="00BB79E0">
              <w:rPr>
                <w:rFonts w:ascii="Arial" w:eastAsia="宋体" w:hAnsi="Arial" w:cs="Arial"/>
                <w:b/>
                <w:bCs/>
                <w:color w:val="000000"/>
                <w:kern w:val="0"/>
                <w:szCs w:val="21"/>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79E0" w:rsidRPr="00BB79E0" w:rsidRDefault="00BB79E0" w:rsidP="00BB79E0">
            <w:pPr>
              <w:widowControl/>
              <w:rPr>
                <w:rFonts w:ascii="Arial" w:eastAsia="宋体" w:hAnsi="Arial" w:cs="Arial"/>
                <w:b/>
                <w:bCs/>
                <w:color w:val="000000"/>
                <w:kern w:val="0"/>
                <w:szCs w:val="21"/>
              </w:rPr>
            </w:pPr>
            <w:r w:rsidRPr="00BB79E0">
              <w:rPr>
                <w:rFonts w:ascii="Arial" w:eastAsia="宋体" w:hAnsi="Arial" w:cs="Arial"/>
                <w:b/>
                <w:bCs/>
                <w:color w:val="000000"/>
                <w:kern w:val="0"/>
                <w:szCs w:val="21"/>
              </w:rPr>
              <w:t xml:space="preserve"> </w:t>
            </w:r>
            <w:r w:rsidRPr="00BB79E0">
              <w:rPr>
                <w:rFonts w:ascii="Arial" w:eastAsia="宋体" w:hAnsi="Arial" w:cs="Arial"/>
                <w:b/>
                <w:bCs/>
                <w:color w:val="000000"/>
                <w:kern w:val="0"/>
                <w:szCs w:val="21"/>
              </w:rPr>
              <w:t>获配金额（元</w:t>
            </w:r>
            <w:r w:rsidRPr="00BB79E0">
              <w:rPr>
                <w:rFonts w:ascii="Arial" w:eastAsia="宋体" w:hAnsi="Arial" w:cs="Arial"/>
                <w:b/>
                <w:bCs/>
                <w:color w:val="000000"/>
                <w:kern w:val="0"/>
                <w:szCs w:val="21"/>
              </w:rPr>
              <w:t>,</w:t>
            </w:r>
            <w:r w:rsidRPr="00BB79E0">
              <w:rPr>
                <w:rFonts w:ascii="Arial" w:eastAsia="宋体" w:hAnsi="Arial" w:cs="Arial"/>
                <w:b/>
                <w:bCs/>
                <w:color w:val="000000"/>
                <w:kern w:val="0"/>
                <w:szCs w:val="21"/>
              </w:rPr>
              <w:t>不含佣金）</w:t>
            </w:r>
            <w:r w:rsidRPr="00BB79E0">
              <w:rPr>
                <w:rFonts w:ascii="Arial" w:eastAsia="宋体" w:hAnsi="Arial" w:cs="Arial"/>
                <w:b/>
                <w:bCs/>
                <w:color w:val="000000"/>
                <w:kern w:val="0"/>
                <w:szCs w:val="21"/>
              </w:rPr>
              <w:t xml:space="preserve">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BB79E0" w:rsidRPr="00BB79E0" w:rsidRDefault="00BB79E0" w:rsidP="00BB79E0">
            <w:pPr>
              <w:widowControl/>
              <w:rPr>
                <w:rFonts w:ascii="Arial" w:eastAsia="宋体" w:hAnsi="Arial" w:cs="Arial"/>
                <w:b/>
                <w:bCs/>
                <w:color w:val="000000"/>
                <w:kern w:val="0"/>
                <w:szCs w:val="21"/>
              </w:rPr>
            </w:pPr>
            <w:r w:rsidRPr="00BB79E0">
              <w:rPr>
                <w:rFonts w:ascii="Arial" w:eastAsia="宋体" w:hAnsi="Arial" w:cs="Arial"/>
                <w:b/>
                <w:bCs/>
                <w:color w:val="000000"/>
                <w:kern w:val="0"/>
                <w:szCs w:val="21"/>
              </w:rPr>
              <w:t xml:space="preserve"> </w:t>
            </w:r>
            <w:r w:rsidRPr="00BB79E0">
              <w:rPr>
                <w:rFonts w:ascii="Arial" w:eastAsia="宋体" w:hAnsi="Arial" w:cs="Arial"/>
                <w:b/>
                <w:bCs/>
                <w:color w:val="000000"/>
                <w:kern w:val="0"/>
                <w:szCs w:val="21"/>
              </w:rPr>
              <w:t>相应新股配售经纪佣金</w:t>
            </w:r>
            <w:r w:rsidRPr="00BB79E0">
              <w:rPr>
                <w:rFonts w:ascii="Arial" w:eastAsia="宋体" w:hAnsi="Arial" w:cs="Arial"/>
                <w:b/>
                <w:bCs/>
                <w:color w:val="000000"/>
                <w:kern w:val="0"/>
                <w:szCs w:val="21"/>
              </w:rPr>
              <w:t>(</w:t>
            </w:r>
            <w:r w:rsidRPr="00BB79E0">
              <w:rPr>
                <w:rFonts w:ascii="Arial" w:eastAsia="宋体" w:hAnsi="Arial" w:cs="Arial"/>
                <w:b/>
                <w:bCs/>
                <w:color w:val="000000"/>
                <w:kern w:val="0"/>
                <w:szCs w:val="21"/>
              </w:rPr>
              <w:t>元</w:t>
            </w:r>
            <w:r w:rsidRPr="00BB79E0">
              <w:rPr>
                <w:rFonts w:ascii="Arial" w:eastAsia="宋体" w:hAnsi="Arial" w:cs="Arial"/>
                <w:b/>
                <w:bCs/>
                <w:color w:val="000000"/>
                <w:kern w:val="0"/>
                <w:szCs w:val="21"/>
              </w:rPr>
              <w:t xml:space="preserve">) </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BB79E0" w:rsidRPr="00BB79E0" w:rsidRDefault="00BB79E0" w:rsidP="00BB79E0">
            <w:pPr>
              <w:widowControl/>
              <w:rPr>
                <w:rFonts w:ascii="Arial" w:eastAsia="宋体" w:hAnsi="Arial" w:cs="Arial"/>
                <w:b/>
                <w:bCs/>
                <w:color w:val="000000"/>
                <w:kern w:val="0"/>
                <w:szCs w:val="21"/>
              </w:rPr>
            </w:pPr>
            <w:r w:rsidRPr="00BB79E0">
              <w:rPr>
                <w:rFonts w:ascii="Arial" w:eastAsia="宋体" w:hAnsi="Arial" w:cs="Arial"/>
                <w:b/>
                <w:bCs/>
                <w:color w:val="000000"/>
                <w:kern w:val="0"/>
                <w:szCs w:val="21"/>
              </w:rPr>
              <w:t xml:space="preserve"> </w:t>
            </w:r>
            <w:r w:rsidRPr="00BB79E0">
              <w:rPr>
                <w:rFonts w:ascii="Arial" w:eastAsia="宋体" w:hAnsi="Arial" w:cs="Arial"/>
                <w:b/>
                <w:bCs/>
                <w:color w:val="000000"/>
                <w:kern w:val="0"/>
                <w:szCs w:val="21"/>
              </w:rPr>
              <w:t>总金额</w:t>
            </w:r>
            <w:r w:rsidRPr="00BB79E0">
              <w:rPr>
                <w:rFonts w:ascii="Arial" w:eastAsia="宋体" w:hAnsi="Arial" w:cs="Arial"/>
                <w:b/>
                <w:bCs/>
                <w:color w:val="000000"/>
                <w:kern w:val="0"/>
                <w:szCs w:val="21"/>
              </w:rPr>
              <w:t>(</w:t>
            </w:r>
            <w:r w:rsidRPr="00BB79E0">
              <w:rPr>
                <w:rFonts w:ascii="Arial" w:eastAsia="宋体" w:hAnsi="Arial" w:cs="Arial"/>
                <w:b/>
                <w:bCs/>
                <w:color w:val="000000"/>
                <w:kern w:val="0"/>
                <w:szCs w:val="21"/>
              </w:rPr>
              <w:t>元</w:t>
            </w:r>
            <w:r w:rsidRPr="00BB79E0">
              <w:rPr>
                <w:rFonts w:ascii="Arial" w:eastAsia="宋体" w:hAnsi="Arial" w:cs="Arial"/>
                <w:b/>
                <w:bCs/>
                <w:color w:val="000000"/>
                <w:kern w:val="0"/>
                <w:szCs w:val="21"/>
              </w:rPr>
              <w:t xml:space="preserve">)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富国改革动力混合型证券投资基金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富国沪港深价值精选灵活配置混合型证券投资基金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富国中证工业</w:t>
            </w:r>
            <w:r w:rsidRPr="00BB79E0">
              <w:rPr>
                <w:rFonts w:ascii="Arial" w:eastAsia="宋体" w:hAnsi="Arial" w:cs="Arial"/>
                <w:color w:val="000000"/>
                <w:kern w:val="0"/>
                <w:szCs w:val="21"/>
              </w:rPr>
              <w:t>4.0</w:t>
            </w:r>
            <w:r w:rsidRPr="00BB79E0">
              <w:rPr>
                <w:rFonts w:ascii="Arial" w:eastAsia="宋体" w:hAnsi="Arial" w:cs="Arial"/>
                <w:color w:val="000000"/>
                <w:kern w:val="0"/>
                <w:szCs w:val="21"/>
              </w:rPr>
              <w:t>指数型证券投资基金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3,406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313,352.00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1,566.76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314,918.76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富国中证煤炭指数型证券投资基金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富国天盛灵活配置混合型证券投资基金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3,287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302,404.00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1,512.02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303,916.02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富国中证智能汽车指数证券投资基金</w:t>
            </w:r>
            <w:r w:rsidRPr="00BB79E0">
              <w:rPr>
                <w:rFonts w:ascii="Arial" w:eastAsia="宋体" w:hAnsi="Arial" w:cs="Arial"/>
                <w:color w:val="000000"/>
                <w:kern w:val="0"/>
                <w:szCs w:val="21"/>
              </w:rPr>
              <w:t>(LOF)</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3,107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285,844.00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1,429.22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287,273.22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富国价值优势混合型证券投资基金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富国中证医药主题指数增强型证券投资基金</w:t>
            </w:r>
            <w:r w:rsidRPr="00BB79E0">
              <w:rPr>
                <w:rFonts w:ascii="Arial" w:eastAsia="宋体" w:hAnsi="Arial" w:cs="Arial"/>
                <w:color w:val="000000"/>
                <w:kern w:val="0"/>
                <w:szCs w:val="21"/>
              </w:rPr>
              <w:t>(LOF)</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2,868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263,856.00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1,319.28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265,175.28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富国美丽中国混合型证券投资</w:t>
            </w:r>
            <w:r w:rsidRPr="00BB79E0">
              <w:rPr>
                <w:rFonts w:ascii="Arial" w:eastAsia="宋体" w:hAnsi="Arial" w:cs="Arial"/>
                <w:color w:val="000000"/>
                <w:kern w:val="0"/>
                <w:szCs w:val="21"/>
              </w:rPr>
              <w:lastRenderedPageBreak/>
              <w:t>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lastRenderedPageBreak/>
              <w:t xml:space="preserve">        </w:t>
            </w:r>
            <w:r w:rsidRPr="00BB79E0">
              <w:rPr>
                <w:rFonts w:ascii="Arial" w:eastAsia="宋体" w:hAnsi="Arial" w:cs="Arial"/>
                <w:color w:val="000000"/>
                <w:kern w:val="0"/>
                <w:szCs w:val="21"/>
              </w:rPr>
              <w:lastRenderedPageBreak/>
              <w:t xml:space="preserve">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lastRenderedPageBreak/>
              <w:t xml:space="preserve">       </w:t>
            </w:r>
            <w:r w:rsidRPr="00BB79E0">
              <w:rPr>
                <w:rFonts w:ascii="Arial" w:eastAsia="宋体" w:hAnsi="Arial" w:cs="Arial"/>
                <w:color w:val="000000"/>
                <w:kern w:val="0"/>
                <w:szCs w:val="21"/>
              </w:rPr>
              <w:lastRenderedPageBreak/>
              <w:t xml:space="preserve">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lastRenderedPageBreak/>
              <w:t xml:space="preserve">             </w:t>
            </w:r>
            <w:r w:rsidRPr="00BB79E0">
              <w:rPr>
                <w:rFonts w:ascii="Arial" w:eastAsia="宋体" w:hAnsi="Arial" w:cs="Arial"/>
                <w:color w:val="000000"/>
                <w:kern w:val="0"/>
                <w:szCs w:val="21"/>
              </w:rPr>
              <w:lastRenderedPageBreak/>
              <w:t xml:space="preserve">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lastRenderedPageBreak/>
              <w:t xml:space="preserve">   </w:t>
            </w:r>
            <w:r w:rsidRPr="00BB79E0">
              <w:rPr>
                <w:rFonts w:ascii="Arial" w:eastAsia="宋体" w:hAnsi="Arial" w:cs="Arial"/>
                <w:color w:val="000000"/>
                <w:kern w:val="0"/>
                <w:szCs w:val="21"/>
              </w:rPr>
              <w:lastRenderedPageBreak/>
              <w:t xml:space="preserve">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lastRenderedPageBreak/>
              <w:t>富国新活力灵活配置混合型发起式证券投资基金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1,494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137,448.00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687.24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138,135.24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富国新机遇灵活配置混合型发起式证券投资基金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富国研究量化精选混合型证券投资基金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1,255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115,460.00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577.30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116,037.30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富国消费主题混合型证券投资基金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富国沪港深行业精选灵活配置混合型发起式证券投资基金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富国成长优选三年定期开放灵活配置混合型证券投资基金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2,032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186,944.00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934.72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187,878.72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富国转型机遇混合型证券投资基金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w:t>
            </w:r>
            <w:r w:rsidRPr="00BB79E0">
              <w:rPr>
                <w:rFonts w:ascii="Arial" w:eastAsia="宋体" w:hAnsi="Arial" w:cs="Arial"/>
                <w:color w:val="000000"/>
                <w:kern w:val="0"/>
                <w:szCs w:val="21"/>
              </w:rPr>
              <w:t>1000</w:t>
            </w:r>
            <w:r w:rsidRPr="00BB79E0">
              <w:rPr>
                <w:rFonts w:ascii="Arial" w:eastAsia="宋体" w:hAnsi="Arial" w:cs="Arial"/>
                <w:color w:val="000000"/>
                <w:kern w:val="0"/>
                <w:szCs w:val="21"/>
              </w:rPr>
              <w:t>指数增强型证券投资基金</w:t>
            </w:r>
            <w:r w:rsidRPr="00BB79E0">
              <w:rPr>
                <w:rFonts w:ascii="Arial" w:eastAsia="宋体" w:hAnsi="Arial" w:cs="Arial"/>
                <w:color w:val="000000"/>
                <w:kern w:val="0"/>
                <w:szCs w:val="21"/>
              </w:rPr>
              <w:t>(LOF)</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富国大盘价值量化精选混合型证券投资基金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2,271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208,932.00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1,044.66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209,976.66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富国周期优势混合型证券投资基金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富国臻选成长灵活配置混合型证券投资基金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956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87,952.00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439.76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88,391.76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富国中证价值交易型开放式指数证券投资基金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1,673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153,916.00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769.58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154,685.58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富国优质发展混合型证券投资基金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w:t>
            </w:r>
            <w:r w:rsidRPr="00BB79E0">
              <w:rPr>
                <w:rFonts w:ascii="Arial" w:eastAsia="宋体" w:hAnsi="Arial" w:cs="Arial"/>
                <w:color w:val="000000"/>
                <w:kern w:val="0"/>
                <w:szCs w:val="21"/>
              </w:rPr>
              <w:t>MSCI</w:t>
            </w:r>
            <w:r w:rsidRPr="00BB79E0">
              <w:rPr>
                <w:rFonts w:ascii="Arial" w:eastAsia="宋体" w:hAnsi="Arial" w:cs="Arial"/>
                <w:color w:val="000000"/>
                <w:kern w:val="0"/>
                <w:szCs w:val="21"/>
              </w:rPr>
              <w:t>中国</w:t>
            </w:r>
            <w:r w:rsidRPr="00BB79E0">
              <w:rPr>
                <w:rFonts w:ascii="Arial" w:eastAsia="宋体" w:hAnsi="Arial" w:cs="Arial"/>
                <w:color w:val="000000"/>
                <w:kern w:val="0"/>
                <w:szCs w:val="21"/>
              </w:rPr>
              <w:t>A</w:t>
            </w:r>
            <w:r w:rsidRPr="00BB79E0">
              <w:rPr>
                <w:rFonts w:ascii="Arial" w:eastAsia="宋体" w:hAnsi="Arial" w:cs="Arial"/>
                <w:color w:val="000000"/>
                <w:kern w:val="0"/>
                <w:szCs w:val="21"/>
              </w:rPr>
              <w:t>股国际通指数增强型证券投资基金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1,016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93,472.00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467.36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93,939.36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富国品质生活混合型证券投资基金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富国睿泽回报混合型证券投资基金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2,629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241,868.00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1,209.34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243,077.34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富国民裕进取沪港深成长精选混合型证券投资基金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富国中证军工龙头交易型开放式指数证券投资基金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富国中证消费</w:t>
            </w:r>
            <w:r w:rsidRPr="00BB79E0">
              <w:rPr>
                <w:rFonts w:ascii="Arial" w:eastAsia="宋体" w:hAnsi="Arial" w:cs="Arial"/>
                <w:color w:val="000000"/>
                <w:kern w:val="0"/>
                <w:szCs w:val="21"/>
              </w:rPr>
              <w:t>50</w:t>
            </w:r>
            <w:r w:rsidRPr="00BB79E0">
              <w:rPr>
                <w:rFonts w:ascii="Arial" w:eastAsia="宋体" w:hAnsi="Arial" w:cs="Arial"/>
                <w:color w:val="000000"/>
                <w:kern w:val="0"/>
                <w:szCs w:val="21"/>
              </w:rPr>
              <w:t>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富国中证国企一带一路交易型开放式指数证券投资基金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3,526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324,392.00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1,621.96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326,013.96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富国中证央企创新驱动交易型开放式指数证券投资基金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3,167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291,364.00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1,456.82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292,820.82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富国中证医药</w:t>
            </w:r>
            <w:r w:rsidRPr="00BB79E0">
              <w:rPr>
                <w:rFonts w:ascii="Arial" w:eastAsia="宋体" w:hAnsi="Arial" w:cs="Arial"/>
                <w:color w:val="000000"/>
                <w:kern w:val="0"/>
                <w:szCs w:val="21"/>
              </w:rPr>
              <w:t>50</w:t>
            </w:r>
            <w:r w:rsidRPr="00BB79E0">
              <w:rPr>
                <w:rFonts w:ascii="Arial" w:eastAsia="宋体" w:hAnsi="Arial" w:cs="Arial"/>
                <w:color w:val="000000"/>
                <w:kern w:val="0"/>
                <w:szCs w:val="21"/>
              </w:rPr>
              <w:t>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3,645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335,340.00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1,676.70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337,016.70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富国中证科技</w:t>
            </w:r>
            <w:r w:rsidRPr="00BB79E0">
              <w:rPr>
                <w:rFonts w:ascii="Arial" w:eastAsia="宋体" w:hAnsi="Arial" w:cs="Arial"/>
                <w:color w:val="000000"/>
                <w:kern w:val="0"/>
                <w:szCs w:val="21"/>
              </w:rPr>
              <w:t>50</w:t>
            </w:r>
            <w:r w:rsidRPr="00BB79E0">
              <w:rPr>
                <w:rFonts w:ascii="Arial" w:eastAsia="宋体" w:hAnsi="Arial" w:cs="Arial"/>
                <w:color w:val="000000"/>
                <w:kern w:val="0"/>
                <w:szCs w:val="21"/>
              </w:rPr>
              <w:t>策略交易型开放式指数证券投资基金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2,868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263,856.00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1,319.28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265,175.28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富国中证全指证券公司交易型开放式指数证券投资基金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897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82,524.00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412.62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82,936.62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富国龙头优势混合型证券投资基金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2,570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236,440.00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1,182.20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237,622.20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富国量化对冲策略三个月持有期灵活配置混合型证券投资基金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3,944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362,848.00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1,814.24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364,662.24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富国内需增长混合型证券投资基金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富国融享</w:t>
            </w:r>
            <w:r w:rsidRPr="00BB79E0">
              <w:rPr>
                <w:rFonts w:ascii="Arial" w:eastAsia="宋体" w:hAnsi="Arial" w:cs="Arial"/>
                <w:color w:val="000000"/>
                <w:kern w:val="0"/>
                <w:szCs w:val="21"/>
              </w:rPr>
              <w:t>18</w:t>
            </w:r>
            <w:r w:rsidRPr="00BB79E0">
              <w:rPr>
                <w:rFonts w:ascii="Arial" w:eastAsia="宋体" w:hAnsi="Arial" w:cs="Arial"/>
                <w:color w:val="000000"/>
                <w:kern w:val="0"/>
                <w:szCs w:val="21"/>
              </w:rPr>
              <w:t>个月定期开放混合型证券投资基金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富国兴泉回报</w:t>
            </w:r>
            <w:r w:rsidRPr="00BB79E0">
              <w:rPr>
                <w:rFonts w:ascii="Arial" w:eastAsia="宋体" w:hAnsi="Arial" w:cs="Arial"/>
                <w:color w:val="000000"/>
                <w:kern w:val="0"/>
                <w:szCs w:val="21"/>
              </w:rPr>
              <w:t>12</w:t>
            </w:r>
            <w:r w:rsidRPr="00BB79E0">
              <w:rPr>
                <w:rFonts w:ascii="Arial" w:eastAsia="宋体" w:hAnsi="Arial" w:cs="Arial"/>
                <w:color w:val="000000"/>
                <w:kern w:val="0"/>
                <w:szCs w:val="21"/>
              </w:rPr>
              <w:t>个月持有期混合型证券投资基金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2,570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236,440.00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1,182.20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237,622.20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富国成长动力混合型证券投资基金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3,526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324,392.00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1,621.96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326,013.96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富国稳进回报</w:t>
            </w:r>
            <w:r w:rsidRPr="00BB79E0">
              <w:rPr>
                <w:rFonts w:ascii="Arial" w:eastAsia="宋体" w:hAnsi="Arial" w:cs="Arial"/>
                <w:color w:val="000000"/>
                <w:kern w:val="0"/>
                <w:szCs w:val="21"/>
              </w:rPr>
              <w:t>12</w:t>
            </w:r>
            <w:r w:rsidRPr="00BB79E0">
              <w:rPr>
                <w:rFonts w:ascii="Arial" w:eastAsia="宋体" w:hAnsi="Arial" w:cs="Arial"/>
                <w:color w:val="000000"/>
                <w:kern w:val="0"/>
                <w:szCs w:val="21"/>
              </w:rPr>
              <w:t>个月持有期混合型证券投资基金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3,406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313,352.00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1,566.76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314,918.76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富国价值增长混合型证券投资基金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富国融泰三个月定期开放混合型发起式证券投资基金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富国消费精选</w:t>
            </w:r>
            <w:r w:rsidRPr="00BB79E0">
              <w:rPr>
                <w:rFonts w:ascii="Arial" w:eastAsia="宋体" w:hAnsi="Arial" w:cs="Arial"/>
                <w:color w:val="000000"/>
                <w:kern w:val="0"/>
                <w:szCs w:val="21"/>
              </w:rPr>
              <w:t>30</w:t>
            </w:r>
            <w:r w:rsidRPr="00BB79E0">
              <w:rPr>
                <w:rFonts w:ascii="Arial" w:eastAsia="宋体" w:hAnsi="Arial" w:cs="Arial"/>
                <w:color w:val="000000"/>
                <w:kern w:val="0"/>
                <w:szCs w:val="21"/>
              </w:rPr>
              <w:t>股票型证券投资基金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富国均衡策略混合型证券投资基金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富国中证农业主题交易型开放式指数证券投资基金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富国天兴回报混合型证券投资基金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富国中证智能汽车主题交易型开放式指数证券投资基金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3,526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324,392.00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1,621.96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326,013.96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富国稳健增长混合型证券投资基金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4,063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373,796.00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1,868.98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375,664.98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富国中证大数据产业交易型开放式指数证券投资基金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2,809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258,428.00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1,292.14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259,720.14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富国优质企业混合型证券投资基金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3,526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324,392.00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1,621.96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326,013.96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富国稳健策略</w:t>
            </w:r>
            <w:r w:rsidRPr="00BB79E0">
              <w:rPr>
                <w:rFonts w:ascii="Arial" w:eastAsia="宋体" w:hAnsi="Arial" w:cs="Arial"/>
                <w:color w:val="000000"/>
                <w:kern w:val="0"/>
                <w:szCs w:val="21"/>
              </w:rPr>
              <w:t>6</w:t>
            </w:r>
            <w:r w:rsidRPr="00BB79E0">
              <w:rPr>
                <w:rFonts w:ascii="Arial" w:eastAsia="宋体" w:hAnsi="Arial" w:cs="Arial"/>
                <w:color w:val="000000"/>
                <w:kern w:val="0"/>
                <w:szCs w:val="21"/>
              </w:rPr>
              <w:t>个月持有期混合型证券投资基金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富国中证沪港深</w:t>
            </w:r>
            <w:r w:rsidRPr="00BB79E0">
              <w:rPr>
                <w:rFonts w:ascii="Arial" w:eastAsia="宋体" w:hAnsi="Arial" w:cs="Arial"/>
                <w:color w:val="000000"/>
                <w:kern w:val="0"/>
                <w:szCs w:val="21"/>
              </w:rPr>
              <w:t>500</w:t>
            </w:r>
            <w:r w:rsidRPr="00BB79E0">
              <w:rPr>
                <w:rFonts w:ascii="Arial" w:eastAsia="宋体" w:hAnsi="Arial" w:cs="Arial"/>
                <w:color w:val="000000"/>
                <w:kern w:val="0"/>
                <w:szCs w:val="21"/>
              </w:rPr>
              <w:t>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1,853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170,476.00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852.38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171,328.38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富国价值创造混合型证券投资基金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富国沪深</w:t>
            </w:r>
            <w:r w:rsidRPr="00BB79E0">
              <w:rPr>
                <w:rFonts w:ascii="Arial" w:eastAsia="宋体" w:hAnsi="Arial" w:cs="Arial"/>
                <w:color w:val="000000"/>
                <w:kern w:val="0"/>
                <w:szCs w:val="21"/>
              </w:rPr>
              <w:t>300</w:t>
            </w:r>
            <w:r w:rsidRPr="00BB79E0">
              <w:rPr>
                <w:rFonts w:ascii="Arial" w:eastAsia="宋体" w:hAnsi="Arial" w:cs="Arial"/>
                <w:color w:val="000000"/>
                <w:kern w:val="0"/>
                <w:szCs w:val="21"/>
              </w:rPr>
              <w:t>基本面精选股票型证券投资基金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富国中证细分化工产业主题交易型开放式指数证券投资基金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1,494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137,448.00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687.24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138,135.24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w:t>
            </w:r>
            <w:r w:rsidRPr="00BB79E0">
              <w:rPr>
                <w:rFonts w:ascii="Arial" w:eastAsia="宋体" w:hAnsi="Arial" w:cs="Arial"/>
                <w:color w:val="000000"/>
                <w:kern w:val="0"/>
                <w:szCs w:val="21"/>
              </w:rPr>
              <w:t>800</w:t>
            </w:r>
            <w:r w:rsidRPr="00BB79E0">
              <w:rPr>
                <w:rFonts w:ascii="Arial" w:eastAsia="宋体" w:hAnsi="Arial" w:cs="Arial"/>
                <w:color w:val="000000"/>
                <w:kern w:val="0"/>
                <w:szCs w:val="21"/>
              </w:rPr>
              <w:t>银行交易型开放式指数证券投资基金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1,793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164,956.00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824.78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165,780.78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富国精诚回报</w:t>
            </w:r>
            <w:r w:rsidRPr="00BB79E0">
              <w:rPr>
                <w:rFonts w:ascii="Arial" w:eastAsia="宋体" w:hAnsi="Arial" w:cs="Arial"/>
                <w:color w:val="000000"/>
                <w:kern w:val="0"/>
                <w:szCs w:val="21"/>
              </w:rPr>
              <w:t>12</w:t>
            </w:r>
            <w:r w:rsidRPr="00BB79E0">
              <w:rPr>
                <w:rFonts w:ascii="Arial" w:eastAsia="宋体" w:hAnsi="Arial" w:cs="Arial"/>
                <w:color w:val="000000"/>
                <w:kern w:val="0"/>
                <w:szCs w:val="21"/>
              </w:rPr>
              <w:t>个月持有期混合型证券投资基金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富国均衡成长三年持有期混合型证券投资基金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3,765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346,380.00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1,731.90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348,111.90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富国中证稀土产业交易型开放式指数证券投资基金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1,315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120,980.00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604.90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121,584.90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富国沪深</w:t>
            </w:r>
            <w:r w:rsidRPr="00BB79E0">
              <w:rPr>
                <w:rFonts w:ascii="Arial" w:eastAsia="宋体" w:hAnsi="Arial" w:cs="Arial"/>
                <w:color w:val="000000"/>
                <w:kern w:val="0"/>
                <w:szCs w:val="21"/>
              </w:rPr>
              <w:t>300ESG</w:t>
            </w:r>
            <w:r w:rsidRPr="00BB79E0">
              <w:rPr>
                <w:rFonts w:ascii="Arial" w:eastAsia="宋体" w:hAnsi="Arial" w:cs="Arial"/>
                <w:color w:val="000000"/>
                <w:kern w:val="0"/>
                <w:szCs w:val="21"/>
              </w:rPr>
              <w:t>基准交易型开放式指数证券投资基金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1,315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120,980.00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604.90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121,584.90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富国中证芯片产业交易型开放式指数证券投资基金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富国稳健恒盛</w:t>
            </w:r>
            <w:r w:rsidRPr="00BB79E0">
              <w:rPr>
                <w:rFonts w:ascii="Arial" w:eastAsia="宋体" w:hAnsi="Arial" w:cs="Arial"/>
                <w:color w:val="000000"/>
                <w:kern w:val="0"/>
                <w:szCs w:val="21"/>
              </w:rPr>
              <w:t>12</w:t>
            </w:r>
            <w:r w:rsidRPr="00BB79E0">
              <w:rPr>
                <w:rFonts w:ascii="Arial" w:eastAsia="宋体" w:hAnsi="Arial" w:cs="Arial"/>
                <w:color w:val="000000"/>
                <w:kern w:val="0"/>
                <w:szCs w:val="21"/>
              </w:rPr>
              <w:t>个月持有期混合型证券投资基金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富国高质量混合型证券投资基金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富国匠心精选</w:t>
            </w:r>
            <w:r w:rsidRPr="00BB79E0">
              <w:rPr>
                <w:rFonts w:ascii="Arial" w:eastAsia="宋体" w:hAnsi="Arial" w:cs="Arial"/>
                <w:color w:val="000000"/>
                <w:kern w:val="0"/>
                <w:szCs w:val="21"/>
              </w:rPr>
              <w:t>12</w:t>
            </w:r>
            <w:r w:rsidRPr="00BB79E0">
              <w:rPr>
                <w:rFonts w:ascii="Arial" w:eastAsia="宋体" w:hAnsi="Arial" w:cs="Arial"/>
                <w:color w:val="000000"/>
                <w:kern w:val="0"/>
                <w:szCs w:val="21"/>
              </w:rPr>
              <w:t>个月持有期混合型证券投资基金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富国中证旅游主题交易型开放式指数证券投资基金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富国中证消费电子主题交易型开放式指数证券投资基金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1,136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104,512.00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522.56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105,034.56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富国诚益回报</w:t>
            </w:r>
            <w:r w:rsidRPr="00BB79E0">
              <w:rPr>
                <w:rFonts w:ascii="Arial" w:eastAsia="宋体" w:hAnsi="Arial" w:cs="Arial"/>
                <w:color w:val="000000"/>
                <w:kern w:val="0"/>
                <w:szCs w:val="21"/>
              </w:rPr>
              <w:t>12</w:t>
            </w:r>
            <w:r w:rsidRPr="00BB79E0">
              <w:rPr>
                <w:rFonts w:ascii="Arial" w:eastAsia="宋体" w:hAnsi="Arial" w:cs="Arial"/>
                <w:color w:val="000000"/>
                <w:kern w:val="0"/>
                <w:szCs w:val="21"/>
              </w:rPr>
              <w:t>个月持有期混合型证券投资基金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富国中证科创创业</w:t>
            </w:r>
            <w:r w:rsidRPr="00BB79E0">
              <w:rPr>
                <w:rFonts w:ascii="Arial" w:eastAsia="宋体" w:hAnsi="Arial" w:cs="Arial"/>
                <w:color w:val="000000"/>
                <w:kern w:val="0"/>
                <w:szCs w:val="21"/>
              </w:rPr>
              <w:t>50</w:t>
            </w:r>
            <w:r w:rsidRPr="00BB79E0">
              <w:rPr>
                <w:rFonts w:ascii="Arial" w:eastAsia="宋体" w:hAnsi="Arial" w:cs="Arial"/>
                <w:color w:val="000000"/>
                <w:kern w:val="0"/>
                <w:szCs w:val="21"/>
              </w:rPr>
              <w:t>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富国红利混合型证券投资基金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富国浦诚回报</w:t>
            </w:r>
            <w:r w:rsidRPr="00BB79E0">
              <w:rPr>
                <w:rFonts w:ascii="Arial" w:eastAsia="宋体" w:hAnsi="Arial" w:cs="Arial"/>
                <w:color w:val="000000"/>
                <w:kern w:val="0"/>
                <w:szCs w:val="21"/>
              </w:rPr>
              <w:t>12</w:t>
            </w:r>
            <w:r w:rsidRPr="00BB79E0">
              <w:rPr>
                <w:rFonts w:ascii="Arial" w:eastAsia="宋体" w:hAnsi="Arial" w:cs="Arial"/>
                <w:color w:val="000000"/>
                <w:kern w:val="0"/>
                <w:szCs w:val="21"/>
              </w:rPr>
              <w:t>个月持有期混合型证券投资基金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富国中证新华社民族品牌工程交易型开放式指数证券投资基金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1,136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104,512.00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522.56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105,034.56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富国信享回报</w:t>
            </w:r>
            <w:r w:rsidRPr="00BB79E0">
              <w:rPr>
                <w:rFonts w:ascii="Arial" w:eastAsia="宋体" w:hAnsi="Arial" w:cs="Arial"/>
                <w:color w:val="000000"/>
                <w:kern w:val="0"/>
                <w:szCs w:val="21"/>
              </w:rPr>
              <w:t>12</w:t>
            </w:r>
            <w:r w:rsidRPr="00BB79E0">
              <w:rPr>
                <w:rFonts w:ascii="Arial" w:eastAsia="宋体" w:hAnsi="Arial" w:cs="Arial"/>
                <w:color w:val="000000"/>
                <w:kern w:val="0"/>
                <w:szCs w:val="21"/>
              </w:rPr>
              <w:t>个月持有期混合型证券投资基金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3,705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340,860.00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1,704.30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342,564.30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富国金安均衡精选混合型证券投资基金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富国趋势优先混合型证券投资基金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2,749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252,908.00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1,264.54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254,172.54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富国天旭均衡混合型证券投资基金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1,016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93,472.00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467.36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93,939.36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富国远见优选混合型证券投资基金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1,434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131,928.00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659.64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132,587.64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w:t>
            </w:r>
            <w:r w:rsidRPr="00BB79E0">
              <w:rPr>
                <w:rFonts w:ascii="Arial" w:eastAsia="宋体" w:hAnsi="Arial" w:cs="Arial"/>
                <w:color w:val="000000"/>
                <w:kern w:val="0"/>
                <w:szCs w:val="21"/>
              </w:rPr>
              <w:t>100</w:t>
            </w:r>
            <w:r w:rsidRPr="00BB79E0">
              <w:rPr>
                <w:rFonts w:ascii="Arial" w:eastAsia="宋体" w:hAnsi="Arial" w:cs="Arial"/>
                <w:color w:val="000000"/>
                <w:kern w:val="0"/>
                <w:szCs w:val="21"/>
              </w:rPr>
              <w:t>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1,494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137,448.00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687.24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138,135.24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富国中证电池主题交易型开放式指数证券投资基金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3,107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285,844.00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1,429.22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287,273.22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富国中证上海环交所碳中和交易型开放式指数证券投资基金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富国上证</w:t>
            </w:r>
            <w:r w:rsidRPr="00BB79E0">
              <w:rPr>
                <w:rFonts w:ascii="Arial" w:eastAsia="宋体" w:hAnsi="Arial" w:cs="Arial"/>
                <w:color w:val="000000"/>
                <w:kern w:val="0"/>
                <w:szCs w:val="21"/>
              </w:rPr>
              <w:t>50</w:t>
            </w:r>
            <w:r w:rsidRPr="00BB79E0">
              <w:rPr>
                <w:rFonts w:ascii="Arial" w:eastAsia="宋体" w:hAnsi="Arial" w:cs="Arial"/>
                <w:color w:val="000000"/>
                <w:kern w:val="0"/>
                <w:szCs w:val="21"/>
              </w:rPr>
              <w:t>基本面精选股票型发起式证券投资基金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2,390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219,880.00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1,099.40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220,979.40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w:t>
            </w:r>
            <w:r w:rsidRPr="00BB79E0">
              <w:rPr>
                <w:rFonts w:ascii="Arial" w:eastAsia="宋体" w:hAnsi="Arial" w:cs="Arial"/>
                <w:color w:val="000000"/>
                <w:kern w:val="0"/>
                <w:szCs w:val="21"/>
              </w:rPr>
              <w:t>1000</w:t>
            </w:r>
            <w:r w:rsidRPr="00BB79E0">
              <w:rPr>
                <w:rFonts w:ascii="Arial" w:eastAsia="宋体" w:hAnsi="Arial" w:cs="Arial"/>
                <w:color w:val="000000"/>
                <w:kern w:val="0"/>
                <w:szCs w:val="21"/>
              </w:rPr>
              <w:t>交易型开放式指数证券投资基金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富国汽车智选混合型证券投资基金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2,689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247,388.00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1,236.94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248,624.94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富国低碳环保混合型证券投资基金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富国城镇发展股票型证券投资基金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富国中证军工指数型证券投资基金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富国高端制造行业股票型证券投资基金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3,824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351,808.00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1,759.04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353,567.04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富国中证移动互联网指数型证券投资基金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1,733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159,436.00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797.18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160,233.18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富国研究精选灵活配置混合型证券投资基金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2,151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197,892.00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989.46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198,881.46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富国中证国有企业改革指数型证券投资基金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富国中小盘精选混合型证券投资基金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2,809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258,428.00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1,292.14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259,720.14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富国中证全指证券公司指数型证券投资基金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富国中证新能源汽车指数型证券投资基金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r w:rsidR="00BB79E0" w:rsidRPr="00BB79E0" w:rsidTr="00BB79E0">
        <w:trPr>
          <w:trHeight w:val="22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富国中证银行指数型证券投资基金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4,183 </w:t>
            </w:r>
          </w:p>
        </w:tc>
        <w:tc>
          <w:tcPr>
            <w:tcW w:w="1276"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384,836.00 </w:t>
            </w:r>
          </w:p>
        </w:tc>
        <w:tc>
          <w:tcPr>
            <w:tcW w:w="1273"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1,924.18 </w:t>
            </w:r>
          </w:p>
        </w:tc>
        <w:tc>
          <w:tcPr>
            <w:tcW w:w="1562" w:type="dxa"/>
            <w:tcBorders>
              <w:top w:val="nil"/>
              <w:left w:val="nil"/>
              <w:bottom w:val="single" w:sz="4" w:space="0" w:color="auto"/>
              <w:right w:val="single" w:sz="4" w:space="0" w:color="auto"/>
            </w:tcBorders>
            <w:shd w:val="clear" w:color="auto" w:fill="auto"/>
            <w:noWrap/>
            <w:vAlign w:val="bottom"/>
            <w:hideMark/>
          </w:tcPr>
          <w:p w:rsidR="00BB79E0" w:rsidRPr="00BB79E0" w:rsidRDefault="00BB79E0" w:rsidP="00BB79E0">
            <w:pPr>
              <w:widowControl/>
              <w:jc w:val="left"/>
              <w:rPr>
                <w:rFonts w:ascii="Arial" w:eastAsia="宋体" w:hAnsi="Arial" w:cs="Arial"/>
                <w:color w:val="000000"/>
                <w:kern w:val="0"/>
                <w:szCs w:val="21"/>
              </w:rPr>
            </w:pPr>
            <w:r w:rsidRPr="00BB79E0">
              <w:rPr>
                <w:rFonts w:ascii="Arial" w:eastAsia="宋体" w:hAnsi="Arial" w:cs="Arial"/>
                <w:color w:val="000000"/>
                <w:kern w:val="0"/>
                <w:szCs w:val="21"/>
              </w:rPr>
              <w:t xml:space="preserve">   386,760.18 </w:t>
            </w:r>
          </w:p>
        </w:tc>
      </w:tr>
    </w:tbl>
    <w:p w:rsidR="00BB79E0" w:rsidRPr="00BB79E0" w:rsidRDefault="00BB79E0" w:rsidP="006E62A6">
      <w:pPr>
        <w:rPr>
          <w:rFonts w:ascii="Times New Roman" w:hAnsi="Times New Roman"/>
          <w:szCs w:val="21"/>
        </w:rPr>
      </w:pPr>
    </w:p>
    <w:p w:rsidR="002B1EBD" w:rsidRDefault="00DC55BA" w:rsidP="006E62A6">
      <w:pPr>
        <w:rPr>
          <w:rFonts w:ascii="Times New Roman" w:hAnsi="Times New Roman"/>
          <w:sz w:val="24"/>
          <w:szCs w:val="24"/>
        </w:rPr>
      </w:pPr>
      <w:r w:rsidRPr="005E3FE8">
        <w:rPr>
          <w:rFonts w:ascii="Times New Roman" w:hAnsi="Times New Roman" w:hint="eastAsia"/>
          <w:sz w:val="24"/>
          <w:szCs w:val="24"/>
        </w:rPr>
        <w:t>注：上述基金新股配售经纪佣金费率为其获配金额的</w:t>
      </w:r>
      <w:r w:rsidRPr="005E3FE8">
        <w:rPr>
          <w:rFonts w:ascii="Times New Roman" w:hAnsi="Times New Roman" w:hint="eastAsia"/>
          <w:sz w:val="24"/>
          <w:szCs w:val="24"/>
        </w:rPr>
        <w:t>0.5%</w:t>
      </w:r>
      <w:r w:rsidRPr="005E3FE8">
        <w:rPr>
          <w:rFonts w:ascii="Times New Roman" w:hAnsi="Times New Roman" w:hint="eastAsia"/>
          <w:sz w:val="24"/>
          <w:szCs w:val="24"/>
        </w:rPr>
        <w:t>。</w:t>
      </w:r>
    </w:p>
    <w:p w:rsidR="00021075" w:rsidRPr="009905AE" w:rsidRDefault="00021075" w:rsidP="00DC55BA">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如有疑问，投资者可拨打本公司客户服务电话或登陆相关网址进行咨询，客户服务热线：</w:t>
      </w:r>
      <w:r w:rsidRPr="005E3FE8">
        <w:rPr>
          <w:rFonts w:ascii="Times New Roman" w:hAnsi="Times New Roman" w:hint="eastAsia"/>
          <w:sz w:val="24"/>
          <w:szCs w:val="24"/>
        </w:rPr>
        <w:t>95105686</w:t>
      </w:r>
      <w:r w:rsidRPr="005E3FE8">
        <w:rPr>
          <w:rFonts w:ascii="Times New Roman" w:hAnsi="Times New Roman" w:hint="eastAsia"/>
          <w:sz w:val="24"/>
          <w:szCs w:val="24"/>
        </w:rPr>
        <w:t>，</w:t>
      </w:r>
      <w:r w:rsidRPr="005E3FE8">
        <w:rPr>
          <w:rFonts w:ascii="Times New Roman" w:hAnsi="Times New Roman" w:hint="eastAsia"/>
          <w:sz w:val="24"/>
          <w:szCs w:val="24"/>
        </w:rPr>
        <w:t>4008880688</w:t>
      </w:r>
      <w:r w:rsidRPr="005E3FE8">
        <w:rPr>
          <w:rFonts w:ascii="Times New Roman" w:hAnsi="Times New Roman" w:hint="eastAsia"/>
          <w:sz w:val="24"/>
          <w:szCs w:val="24"/>
        </w:rPr>
        <w:t>（全国统一，均免长途话费），公司网址：</w:t>
      </w:r>
      <w:r w:rsidRPr="005E3FE8">
        <w:rPr>
          <w:rFonts w:ascii="Times New Roman" w:hAnsi="Times New Roman" w:hint="eastAsia"/>
          <w:sz w:val="24"/>
          <w:szCs w:val="24"/>
        </w:rPr>
        <w:t>www.fullgoal.com.cn</w:t>
      </w:r>
      <w:r w:rsidRPr="005E3FE8">
        <w:rPr>
          <w:rFonts w:ascii="Times New Roman" w:hAnsi="Times New Roman" w:hint="eastAsia"/>
          <w:sz w:val="24"/>
          <w:szCs w:val="24"/>
        </w:rPr>
        <w:t>。</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基金管理人承诺以诚实信用、勤勉尽责的原则管理和运用基金财产，但不保证基金一定盈利，也不保证最低收益。</w:t>
      </w:r>
      <w:r w:rsidRPr="005E3FE8">
        <w:rPr>
          <w:rFonts w:ascii="Times New Roman" w:hAnsi="Times New Roman" w:hint="eastAsia"/>
          <w:sz w:val="24"/>
          <w:szCs w:val="24"/>
        </w:rPr>
        <w:t>敬请投资者注意投资风险。</w:t>
      </w:r>
      <w:r w:rsidRPr="00BC4AA5">
        <w:rPr>
          <w:rFonts w:ascii="Times New Roman" w:hAnsi="Times New Roman" w:hint="eastAsia"/>
          <w:sz w:val="24"/>
          <w:szCs w:val="24"/>
        </w:rPr>
        <w:t>投资者投资于</w:t>
      </w:r>
      <w:r>
        <w:rPr>
          <w:rFonts w:ascii="Times New Roman" w:hAnsi="Times New Roman" w:hint="eastAsia"/>
          <w:sz w:val="24"/>
          <w:szCs w:val="24"/>
        </w:rPr>
        <w:t>相应基金前应认真阅读</w:t>
      </w:r>
      <w:r w:rsidRPr="00BC4AA5">
        <w:rPr>
          <w:rFonts w:ascii="Times New Roman" w:hAnsi="Times New Roman" w:hint="eastAsia"/>
          <w:sz w:val="24"/>
          <w:szCs w:val="24"/>
        </w:rPr>
        <w:t>基金的基金合同和招募说明书等相关法律文件。</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5E3FE8" w:rsidRDefault="005E3FE8"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富国基金管理有限公司</w:t>
      </w:r>
    </w:p>
    <w:p w:rsidR="005E3FE8" w:rsidRPr="005E3FE8" w:rsidRDefault="001B4981"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202</w:t>
      </w:r>
      <w:r w:rsidR="00BB79E0">
        <w:rPr>
          <w:rFonts w:ascii="Times New Roman" w:hAnsi="Times New Roman"/>
          <w:sz w:val="24"/>
          <w:szCs w:val="24"/>
        </w:rPr>
        <w:t>3</w:t>
      </w:r>
      <w:r>
        <w:rPr>
          <w:rFonts w:ascii="Times New Roman" w:hAnsi="Times New Roman" w:hint="eastAsia"/>
          <w:sz w:val="24"/>
          <w:szCs w:val="24"/>
        </w:rPr>
        <w:t>年</w:t>
      </w:r>
      <w:r w:rsidR="00BB79E0">
        <w:rPr>
          <w:rFonts w:ascii="Times New Roman" w:hAnsi="Times New Roman"/>
          <w:sz w:val="24"/>
          <w:szCs w:val="24"/>
        </w:rPr>
        <w:t>2</w:t>
      </w:r>
      <w:r w:rsidR="00D12E42">
        <w:rPr>
          <w:rFonts w:ascii="Times New Roman" w:hAnsi="Times New Roman" w:hint="eastAsia"/>
          <w:sz w:val="24"/>
          <w:szCs w:val="24"/>
        </w:rPr>
        <w:t>月</w:t>
      </w:r>
      <w:r w:rsidR="009905AE">
        <w:rPr>
          <w:rFonts w:ascii="Times New Roman" w:hAnsi="Times New Roman"/>
          <w:sz w:val="24"/>
          <w:szCs w:val="24"/>
        </w:rPr>
        <w:t>2</w:t>
      </w:r>
      <w:r w:rsidR="005E3FE8">
        <w:rPr>
          <w:rFonts w:ascii="Times New Roman" w:hAnsi="Times New Roman" w:hint="eastAsia"/>
          <w:sz w:val="24"/>
          <w:szCs w:val="24"/>
        </w:rPr>
        <w:t>日</w:t>
      </w:r>
    </w:p>
    <w:sectPr w:rsidR="005E3FE8" w:rsidRPr="005E3FE8" w:rsidSect="00791E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87C" w:rsidRDefault="0080187C" w:rsidP="005E3FE8">
      <w:r>
        <w:separator/>
      </w:r>
    </w:p>
  </w:endnote>
  <w:endnote w:type="continuationSeparator" w:id="0">
    <w:p w:rsidR="0080187C" w:rsidRDefault="0080187C" w:rsidP="005E3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Microsoft YaHei UI">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87C" w:rsidRDefault="0080187C" w:rsidP="005E3FE8">
      <w:r>
        <w:separator/>
      </w:r>
    </w:p>
  </w:footnote>
  <w:footnote w:type="continuationSeparator" w:id="0">
    <w:p w:rsidR="0080187C" w:rsidRDefault="0080187C" w:rsidP="005E3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1A1"/>
    <w:rsid w:val="000052E1"/>
    <w:rsid w:val="00021075"/>
    <w:rsid w:val="000211CB"/>
    <w:rsid w:val="00025D4D"/>
    <w:rsid w:val="00065D68"/>
    <w:rsid w:val="00075E7E"/>
    <w:rsid w:val="00096346"/>
    <w:rsid w:val="000F38E0"/>
    <w:rsid w:val="00170F5B"/>
    <w:rsid w:val="00172882"/>
    <w:rsid w:val="001748BD"/>
    <w:rsid w:val="001B0F67"/>
    <w:rsid w:val="001B4981"/>
    <w:rsid w:val="001F2308"/>
    <w:rsid w:val="0020258C"/>
    <w:rsid w:val="00276541"/>
    <w:rsid w:val="002B1EBD"/>
    <w:rsid w:val="002F7566"/>
    <w:rsid w:val="003023BB"/>
    <w:rsid w:val="00313E1D"/>
    <w:rsid w:val="003A5077"/>
    <w:rsid w:val="003D674B"/>
    <w:rsid w:val="003E3F49"/>
    <w:rsid w:val="003F4E54"/>
    <w:rsid w:val="00407BBA"/>
    <w:rsid w:val="00441810"/>
    <w:rsid w:val="00495E8B"/>
    <w:rsid w:val="004C16C6"/>
    <w:rsid w:val="005439CD"/>
    <w:rsid w:val="00550DA6"/>
    <w:rsid w:val="00561940"/>
    <w:rsid w:val="00570ABE"/>
    <w:rsid w:val="00594D88"/>
    <w:rsid w:val="005C3D06"/>
    <w:rsid w:val="005E3FE8"/>
    <w:rsid w:val="005E4C20"/>
    <w:rsid w:val="00610EFD"/>
    <w:rsid w:val="006A3BDD"/>
    <w:rsid w:val="006E60CA"/>
    <w:rsid w:val="006E62A6"/>
    <w:rsid w:val="007015C8"/>
    <w:rsid w:val="00751D5D"/>
    <w:rsid w:val="007724A5"/>
    <w:rsid w:val="00791E8B"/>
    <w:rsid w:val="00794FBA"/>
    <w:rsid w:val="00797BE5"/>
    <w:rsid w:val="007A7E36"/>
    <w:rsid w:val="0080187C"/>
    <w:rsid w:val="00810730"/>
    <w:rsid w:val="00815D2F"/>
    <w:rsid w:val="00824BA9"/>
    <w:rsid w:val="008532DB"/>
    <w:rsid w:val="008C0BA7"/>
    <w:rsid w:val="00920237"/>
    <w:rsid w:val="00964E05"/>
    <w:rsid w:val="00974955"/>
    <w:rsid w:val="009905AE"/>
    <w:rsid w:val="009B28EB"/>
    <w:rsid w:val="00A15474"/>
    <w:rsid w:val="00AD4FAB"/>
    <w:rsid w:val="00B3782B"/>
    <w:rsid w:val="00B76850"/>
    <w:rsid w:val="00B95A71"/>
    <w:rsid w:val="00B97599"/>
    <w:rsid w:val="00BB1490"/>
    <w:rsid w:val="00BB79E0"/>
    <w:rsid w:val="00BE0F85"/>
    <w:rsid w:val="00C119AE"/>
    <w:rsid w:val="00C501D5"/>
    <w:rsid w:val="00C826C1"/>
    <w:rsid w:val="00CA2CCA"/>
    <w:rsid w:val="00D12E42"/>
    <w:rsid w:val="00D15506"/>
    <w:rsid w:val="00D4639F"/>
    <w:rsid w:val="00D53B1F"/>
    <w:rsid w:val="00D7154F"/>
    <w:rsid w:val="00DC55BA"/>
    <w:rsid w:val="00DD21CF"/>
    <w:rsid w:val="00E123E3"/>
    <w:rsid w:val="00E671A1"/>
    <w:rsid w:val="00E91AE0"/>
    <w:rsid w:val="00E97C46"/>
    <w:rsid w:val="00EF6237"/>
    <w:rsid w:val="00F03BF7"/>
    <w:rsid w:val="00F041B0"/>
    <w:rsid w:val="00F40C1D"/>
    <w:rsid w:val="00F468DF"/>
    <w:rsid w:val="00F85BD8"/>
    <w:rsid w:val="00F9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FE8"/>
    <w:rPr>
      <w:sz w:val="18"/>
      <w:szCs w:val="18"/>
    </w:rPr>
  </w:style>
  <w:style w:type="paragraph" w:styleId="a4">
    <w:name w:val="footer"/>
    <w:basedOn w:val="a"/>
    <w:link w:val="Char0"/>
    <w:uiPriority w:val="99"/>
    <w:unhideWhenUsed/>
    <w:rsid w:val="005E3FE8"/>
    <w:pPr>
      <w:tabs>
        <w:tab w:val="center" w:pos="4153"/>
        <w:tab w:val="right" w:pos="8306"/>
      </w:tabs>
      <w:snapToGrid w:val="0"/>
      <w:jc w:val="left"/>
    </w:pPr>
    <w:rPr>
      <w:sz w:val="18"/>
      <w:szCs w:val="18"/>
    </w:rPr>
  </w:style>
  <w:style w:type="character" w:customStyle="1" w:styleId="Char0">
    <w:name w:val="页脚 Char"/>
    <w:basedOn w:val="a0"/>
    <w:link w:val="a4"/>
    <w:uiPriority w:val="99"/>
    <w:rsid w:val="005E3FE8"/>
    <w:rPr>
      <w:sz w:val="18"/>
      <w:szCs w:val="18"/>
    </w:rPr>
  </w:style>
  <w:style w:type="table" w:styleId="a5">
    <w:name w:val="Table Grid"/>
    <w:basedOn w:val="a1"/>
    <w:uiPriority w:val="59"/>
    <w:rsid w:val="005E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E3FE8"/>
    <w:rPr>
      <w:sz w:val="21"/>
      <w:szCs w:val="21"/>
    </w:rPr>
  </w:style>
  <w:style w:type="paragraph" w:styleId="a7">
    <w:name w:val="annotation text"/>
    <w:basedOn w:val="a"/>
    <w:link w:val="Char1"/>
    <w:uiPriority w:val="99"/>
    <w:semiHidden/>
    <w:unhideWhenUsed/>
    <w:rsid w:val="005E3FE8"/>
    <w:pPr>
      <w:jc w:val="left"/>
    </w:pPr>
  </w:style>
  <w:style w:type="character" w:customStyle="1" w:styleId="Char1">
    <w:name w:val="批注文字 Char"/>
    <w:basedOn w:val="a0"/>
    <w:link w:val="a7"/>
    <w:uiPriority w:val="99"/>
    <w:semiHidden/>
    <w:rsid w:val="005E3FE8"/>
  </w:style>
  <w:style w:type="paragraph" w:styleId="a8">
    <w:name w:val="annotation subject"/>
    <w:basedOn w:val="a7"/>
    <w:next w:val="a7"/>
    <w:link w:val="Char2"/>
    <w:uiPriority w:val="99"/>
    <w:semiHidden/>
    <w:unhideWhenUsed/>
    <w:rsid w:val="005E3FE8"/>
    <w:rPr>
      <w:b/>
      <w:bCs/>
    </w:rPr>
  </w:style>
  <w:style w:type="character" w:customStyle="1" w:styleId="Char2">
    <w:name w:val="批注主题 Char"/>
    <w:basedOn w:val="Char1"/>
    <w:link w:val="a8"/>
    <w:uiPriority w:val="99"/>
    <w:semiHidden/>
    <w:rsid w:val="005E3FE8"/>
    <w:rPr>
      <w:b/>
      <w:bCs/>
    </w:rPr>
  </w:style>
  <w:style w:type="paragraph" w:styleId="a9">
    <w:name w:val="Balloon Text"/>
    <w:basedOn w:val="a"/>
    <w:link w:val="Char3"/>
    <w:uiPriority w:val="99"/>
    <w:semiHidden/>
    <w:unhideWhenUsed/>
    <w:rsid w:val="005E3FE8"/>
    <w:rPr>
      <w:sz w:val="18"/>
      <w:szCs w:val="18"/>
    </w:rPr>
  </w:style>
  <w:style w:type="character" w:customStyle="1" w:styleId="Char3">
    <w:name w:val="批注框文本 Char"/>
    <w:basedOn w:val="a0"/>
    <w:link w:val="a9"/>
    <w:uiPriority w:val="99"/>
    <w:semiHidden/>
    <w:rsid w:val="005E3FE8"/>
    <w:rPr>
      <w:sz w:val="18"/>
      <w:szCs w:val="18"/>
    </w:rPr>
  </w:style>
  <w:style w:type="character" w:styleId="aa">
    <w:name w:val="Hyperlink"/>
    <w:basedOn w:val="a0"/>
    <w:uiPriority w:val="99"/>
    <w:semiHidden/>
    <w:unhideWhenUsed/>
    <w:rsid w:val="00065D68"/>
    <w:rPr>
      <w:color w:val="0000FF"/>
      <w:u w:val="single"/>
    </w:rPr>
  </w:style>
  <w:style w:type="character" w:styleId="ab">
    <w:name w:val="FollowedHyperlink"/>
    <w:basedOn w:val="a0"/>
    <w:uiPriority w:val="99"/>
    <w:semiHidden/>
    <w:unhideWhenUsed/>
    <w:rsid w:val="00065D68"/>
    <w:rPr>
      <w:color w:val="800080"/>
      <w:u w:val="single"/>
    </w:rPr>
  </w:style>
  <w:style w:type="paragraph" w:customStyle="1" w:styleId="xl63">
    <w:name w:val="xl63"/>
    <w:basedOn w:val="a"/>
    <w:rsid w:val="00065D68"/>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8"/>
      <w:szCs w:val="18"/>
    </w:rPr>
  </w:style>
  <w:style w:type="paragraph" w:customStyle="1" w:styleId="xl65">
    <w:name w:val="xl65"/>
    <w:basedOn w:val="a"/>
    <w:rsid w:val="00065D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18"/>
      <w:szCs w:val="18"/>
    </w:rPr>
  </w:style>
  <w:style w:type="paragraph" w:customStyle="1" w:styleId="xl66">
    <w:name w:val="xl66"/>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4"/>
      <w:szCs w:val="24"/>
    </w:rPr>
  </w:style>
  <w:style w:type="paragraph" w:customStyle="1" w:styleId="xl67">
    <w:name w:val="xl67"/>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4"/>
      <w:szCs w:val="24"/>
    </w:rPr>
  </w:style>
  <w:style w:type="paragraph" w:customStyle="1" w:styleId="xl68">
    <w:name w:val="xl68"/>
    <w:basedOn w:val="a"/>
    <w:rsid w:val="00065D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YaHei UI" w:eastAsia="Microsoft YaHei UI" w:hAnsi="Microsoft YaHei UI" w:cs="宋体"/>
      <w:color w:val="000000"/>
      <w:kern w:val="0"/>
      <w:sz w:val="18"/>
      <w:szCs w:val="18"/>
    </w:rPr>
  </w:style>
  <w:style w:type="paragraph" w:customStyle="1" w:styleId="xl69">
    <w:name w:val="xl69"/>
    <w:basedOn w:val="a"/>
    <w:rsid w:val="00065D6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宋体" w:hAnsi="Arial" w:cs="Arial"/>
      <w:kern w:val="0"/>
      <w:sz w:val="24"/>
      <w:szCs w:val="24"/>
    </w:rPr>
  </w:style>
  <w:style w:type="paragraph" w:customStyle="1" w:styleId="xl71">
    <w:name w:val="xl71"/>
    <w:basedOn w:val="a"/>
    <w:rsid w:val="00065D68"/>
    <w:pPr>
      <w:widowControl/>
      <w:shd w:val="clear" w:color="000000" w:fill="FFFFFF"/>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543255">
      <w:bodyDiv w:val="1"/>
      <w:marLeft w:val="0"/>
      <w:marRight w:val="0"/>
      <w:marTop w:val="0"/>
      <w:marBottom w:val="0"/>
      <w:divBdr>
        <w:top w:val="none" w:sz="0" w:space="0" w:color="auto"/>
        <w:left w:val="none" w:sz="0" w:space="0" w:color="auto"/>
        <w:bottom w:val="none" w:sz="0" w:space="0" w:color="auto"/>
        <w:right w:val="none" w:sz="0" w:space="0" w:color="auto"/>
      </w:divBdr>
    </w:div>
    <w:div w:id="184559260">
      <w:bodyDiv w:val="1"/>
      <w:marLeft w:val="0"/>
      <w:marRight w:val="0"/>
      <w:marTop w:val="0"/>
      <w:marBottom w:val="0"/>
      <w:divBdr>
        <w:top w:val="none" w:sz="0" w:space="0" w:color="auto"/>
        <w:left w:val="none" w:sz="0" w:space="0" w:color="auto"/>
        <w:bottom w:val="none" w:sz="0" w:space="0" w:color="auto"/>
        <w:right w:val="none" w:sz="0" w:space="0" w:color="auto"/>
      </w:divBdr>
    </w:div>
    <w:div w:id="200872760">
      <w:bodyDiv w:val="1"/>
      <w:marLeft w:val="0"/>
      <w:marRight w:val="0"/>
      <w:marTop w:val="0"/>
      <w:marBottom w:val="0"/>
      <w:divBdr>
        <w:top w:val="none" w:sz="0" w:space="0" w:color="auto"/>
        <w:left w:val="none" w:sz="0" w:space="0" w:color="auto"/>
        <w:bottom w:val="none" w:sz="0" w:space="0" w:color="auto"/>
        <w:right w:val="none" w:sz="0" w:space="0" w:color="auto"/>
      </w:divBdr>
    </w:div>
    <w:div w:id="441925523">
      <w:bodyDiv w:val="1"/>
      <w:marLeft w:val="0"/>
      <w:marRight w:val="0"/>
      <w:marTop w:val="0"/>
      <w:marBottom w:val="0"/>
      <w:divBdr>
        <w:top w:val="none" w:sz="0" w:space="0" w:color="auto"/>
        <w:left w:val="none" w:sz="0" w:space="0" w:color="auto"/>
        <w:bottom w:val="none" w:sz="0" w:space="0" w:color="auto"/>
        <w:right w:val="none" w:sz="0" w:space="0" w:color="auto"/>
      </w:divBdr>
    </w:div>
    <w:div w:id="594896584">
      <w:bodyDiv w:val="1"/>
      <w:marLeft w:val="0"/>
      <w:marRight w:val="0"/>
      <w:marTop w:val="0"/>
      <w:marBottom w:val="0"/>
      <w:divBdr>
        <w:top w:val="none" w:sz="0" w:space="0" w:color="auto"/>
        <w:left w:val="none" w:sz="0" w:space="0" w:color="auto"/>
        <w:bottom w:val="none" w:sz="0" w:space="0" w:color="auto"/>
        <w:right w:val="none" w:sz="0" w:space="0" w:color="auto"/>
      </w:divBdr>
    </w:div>
    <w:div w:id="607280614">
      <w:bodyDiv w:val="1"/>
      <w:marLeft w:val="0"/>
      <w:marRight w:val="0"/>
      <w:marTop w:val="0"/>
      <w:marBottom w:val="0"/>
      <w:divBdr>
        <w:top w:val="none" w:sz="0" w:space="0" w:color="auto"/>
        <w:left w:val="none" w:sz="0" w:space="0" w:color="auto"/>
        <w:bottom w:val="none" w:sz="0" w:space="0" w:color="auto"/>
        <w:right w:val="none" w:sz="0" w:space="0" w:color="auto"/>
      </w:divBdr>
    </w:div>
    <w:div w:id="770390375">
      <w:bodyDiv w:val="1"/>
      <w:marLeft w:val="0"/>
      <w:marRight w:val="0"/>
      <w:marTop w:val="0"/>
      <w:marBottom w:val="0"/>
      <w:divBdr>
        <w:top w:val="none" w:sz="0" w:space="0" w:color="auto"/>
        <w:left w:val="none" w:sz="0" w:space="0" w:color="auto"/>
        <w:bottom w:val="none" w:sz="0" w:space="0" w:color="auto"/>
        <w:right w:val="none" w:sz="0" w:space="0" w:color="auto"/>
      </w:divBdr>
    </w:div>
    <w:div w:id="966012493">
      <w:bodyDiv w:val="1"/>
      <w:marLeft w:val="0"/>
      <w:marRight w:val="0"/>
      <w:marTop w:val="0"/>
      <w:marBottom w:val="0"/>
      <w:divBdr>
        <w:top w:val="none" w:sz="0" w:space="0" w:color="auto"/>
        <w:left w:val="none" w:sz="0" w:space="0" w:color="auto"/>
        <w:bottom w:val="none" w:sz="0" w:space="0" w:color="auto"/>
        <w:right w:val="none" w:sz="0" w:space="0" w:color="auto"/>
      </w:divBdr>
    </w:div>
    <w:div w:id="1093281648">
      <w:bodyDiv w:val="1"/>
      <w:marLeft w:val="0"/>
      <w:marRight w:val="0"/>
      <w:marTop w:val="0"/>
      <w:marBottom w:val="0"/>
      <w:divBdr>
        <w:top w:val="none" w:sz="0" w:space="0" w:color="auto"/>
        <w:left w:val="none" w:sz="0" w:space="0" w:color="auto"/>
        <w:bottom w:val="none" w:sz="0" w:space="0" w:color="auto"/>
        <w:right w:val="none" w:sz="0" w:space="0" w:color="auto"/>
      </w:divBdr>
    </w:div>
    <w:div w:id="1222793307">
      <w:bodyDiv w:val="1"/>
      <w:marLeft w:val="0"/>
      <w:marRight w:val="0"/>
      <w:marTop w:val="0"/>
      <w:marBottom w:val="0"/>
      <w:divBdr>
        <w:top w:val="none" w:sz="0" w:space="0" w:color="auto"/>
        <w:left w:val="none" w:sz="0" w:space="0" w:color="auto"/>
        <w:bottom w:val="none" w:sz="0" w:space="0" w:color="auto"/>
        <w:right w:val="none" w:sz="0" w:space="0" w:color="auto"/>
      </w:divBdr>
    </w:div>
    <w:div w:id="1314405804">
      <w:bodyDiv w:val="1"/>
      <w:marLeft w:val="0"/>
      <w:marRight w:val="0"/>
      <w:marTop w:val="0"/>
      <w:marBottom w:val="0"/>
      <w:divBdr>
        <w:top w:val="none" w:sz="0" w:space="0" w:color="auto"/>
        <w:left w:val="none" w:sz="0" w:space="0" w:color="auto"/>
        <w:bottom w:val="none" w:sz="0" w:space="0" w:color="auto"/>
        <w:right w:val="none" w:sz="0" w:space="0" w:color="auto"/>
      </w:divBdr>
    </w:div>
    <w:div w:id="1317299448">
      <w:bodyDiv w:val="1"/>
      <w:marLeft w:val="0"/>
      <w:marRight w:val="0"/>
      <w:marTop w:val="0"/>
      <w:marBottom w:val="0"/>
      <w:divBdr>
        <w:top w:val="none" w:sz="0" w:space="0" w:color="auto"/>
        <w:left w:val="none" w:sz="0" w:space="0" w:color="auto"/>
        <w:bottom w:val="none" w:sz="0" w:space="0" w:color="auto"/>
        <w:right w:val="none" w:sz="0" w:space="0" w:color="auto"/>
      </w:divBdr>
    </w:div>
    <w:div w:id="1349988666">
      <w:bodyDiv w:val="1"/>
      <w:marLeft w:val="0"/>
      <w:marRight w:val="0"/>
      <w:marTop w:val="0"/>
      <w:marBottom w:val="0"/>
      <w:divBdr>
        <w:top w:val="none" w:sz="0" w:space="0" w:color="auto"/>
        <w:left w:val="none" w:sz="0" w:space="0" w:color="auto"/>
        <w:bottom w:val="none" w:sz="0" w:space="0" w:color="auto"/>
        <w:right w:val="none" w:sz="0" w:space="0" w:color="auto"/>
      </w:divBdr>
    </w:div>
    <w:div w:id="1653632189">
      <w:bodyDiv w:val="1"/>
      <w:marLeft w:val="0"/>
      <w:marRight w:val="0"/>
      <w:marTop w:val="0"/>
      <w:marBottom w:val="0"/>
      <w:divBdr>
        <w:top w:val="none" w:sz="0" w:space="0" w:color="auto"/>
        <w:left w:val="none" w:sz="0" w:space="0" w:color="auto"/>
        <w:bottom w:val="none" w:sz="0" w:space="0" w:color="auto"/>
        <w:right w:val="none" w:sz="0" w:space="0" w:color="auto"/>
      </w:divBdr>
    </w:div>
    <w:div w:id="1863586278">
      <w:bodyDiv w:val="1"/>
      <w:marLeft w:val="0"/>
      <w:marRight w:val="0"/>
      <w:marTop w:val="0"/>
      <w:marBottom w:val="0"/>
      <w:divBdr>
        <w:top w:val="none" w:sz="0" w:space="0" w:color="auto"/>
        <w:left w:val="none" w:sz="0" w:space="0" w:color="auto"/>
        <w:bottom w:val="none" w:sz="0" w:space="0" w:color="auto"/>
        <w:right w:val="none" w:sz="0" w:space="0" w:color="auto"/>
      </w:divBdr>
    </w:div>
    <w:div w:id="1886718178">
      <w:bodyDiv w:val="1"/>
      <w:marLeft w:val="0"/>
      <w:marRight w:val="0"/>
      <w:marTop w:val="0"/>
      <w:marBottom w:val="0"/>
      <w:divBdr>
        <w:top w:val="none" w:sz="0" w:space="0" w:color="auto"/>
        <w:left w:val="none" w:sz="0" w:space="0" w:color="auto"/>
        <w:bottom w:val="none" w:sz="0" w:space="0" w:color="auto"/>
        <w:right w:val="none" w:sz="0" w:space="0" w:color="auto"/>
      </w:divBdr>
    </w:div>
    <w:div w:id="2063476197">
      <w:bodyDiv w:val="1"/>
      <w:marLeft w:val="0"/>
      <w:marRight w:val="0"/>
      <w:marTop w:val="0"/>
      <w:marBottom w:val="0"/>
      <w:divBdr>
        <w:top w:val="none" w:sz="0" w:space="0" w:color="auto"/>
        <w:left w:val="none" w:sz="0" w:space="0" w:color="auto"/>
        <w:bottom w:val="none" w:sz="0" w:space="0" w:color="auto"/>
        <w:right w:val="none" w:sz="0" w:space="0" w:color="auto"/>
      </w:divBdr>
    </w:div>
    <w:div w:id="20760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FDAB-96F4-4F67-92A1-C988FC6A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8043</Characters>
  <Application>Microsoft Office Word</Application>
  <DocSecurity>4</DocSecurity>
  <Lines>67</Lines>
  <Paragraphs>18</Paragraphs>
  <ScaleCrop>false</ScaleCrop>
  <Company>MS</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陶人杰</dc:creator>
  <cp:lastModifiedBy>ZHONGM</cp:lastModifiedBy>
  <cp:revision>2</cp:revision>
  <dcterms:created xsi:type="dcterms:W3CDTF">2023-02-01T16:01:00Z</dcterms:created>
  <dcterms:modified xsi:type="dcterms:W3CDTF">2023-02-01T16:01:00Z</dcterms:modified>
</cp:coreProperties>
</file>