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369E" w:rsidRDefault="0099369E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99369E" w:rsidRDefault="0099369E">
      <w:pPr>
        <w:jc w:val="center"/>
      </w:pPr>
      <w:r>
        <w:rPr>
          <w:rFonts w:cs="Times New Roman" w:hint="eastAsia"/>
          <w:b/>
          <w:sz w:val="48"/>
          <w:szCs w:val="48"/>
        </w:rPr>
        <w:t>关于华富天益货币市场基金暂停大额申购、定投及转换转入业务的公告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99369E" w:rsidRDefault="0099369E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公告送出日期：2023年12月</w:t>
      </w:r>
      <w:r w:rsidR="00F90EFE">
        <w:rPr>
          <w:b/>
          <w:bCs/>
          <w:sz w:val="24"/>
          <w:szCs w:val="30"/>
        </w:rPr>
        <w:t>30</w:t>
      </w:r>
      <w:r>
        <w:rPr>
          <w:rFonts w:hint="eastAsia"/>
          <w:b/>
          <w:bCs/>
          <w:sz w:val="24"/>
          <w:szCs w:val="30"/>
        </w:rPr>
        <w:t>日</w:t>
      </w:r>
    </w:p>
    <w:p w:rsidR="0099369E" w:rsidRDefault="0099369E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b w:val="0"/>
          <w:bCs w:val="0"/>
          <w:color w:val="404040"/>
          <w:kern w:val="0"/>
        </w:rPr>
        <w:br w:type="page"/>
      </w:r>
      <w:bookmarkStart w:id="1" w:name="_Toc34322059"/>
      <w:bookmarkStart w:id="2" w:name="_Toc513295892"/>
      <w:bookmarkStart w:id="3" w:name="_Toc513295846"/>
      <w:bookmarkStart w:id="4" w:name="_Toc490050000"/>
      <w:bookmarkStart w:id="5" w:name="_Toc438646451"/>
      <w:bookmarkStart w:id="6" w:name="_Toc481075046"/>
      <w:bookmarkStart w:id="7" w:name="_Toc512519480"/>
      <w:bookmarkStart w:id="8" w:name="_Toc17897936"/>
      <w:bookmarkStart w:id="9" w:name="_Toc17898178"/>
      <w:bookmarkStart w:id="10" w:name="_Toc194311890"/>
      <w:bookmarkStart w:id="11" w:name="m01_01"/>
      <w:bookmarkStart w:id="12" w:name="m101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99369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基金名称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华富天益货币市场基金</w:t>
            </w:r>
          </w:p>
        </w:tc>
      </w:tr>
      <w:tr w:rsidR="0099369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 xml:space="preserve">基金简称 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华富天益货币</w:t>
            </w:r>
          </w:p>
        </w:tc>
      </w:tr>
      <w:tr w:rsidR="0099369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 xml:space="preserve">基金主代码 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004198</w:t>
            </w:r>
          </w:p>
        </w:tc>
      </w:tr>
      <w:tr w:rsidR="0099369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华富基金管理有限公司</w:t>
            </w:r>
          </w:p>
        </w:tc>
      </w:tr>
      <w:tr w:rsidR="0099369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公告依据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《中华人民共和国证券投资基金法》《公开募集证券投资基金运作管理办法》《公开募集证券投资基金信息披露管理办法》《华富天益货币市场基金基金合同》《华富天益货币市场基金招募说明书》等有关规定</w:t>
            </w:r>
          </w:p>
        </w:tc>
      </w:tr>
      <w:tr w:rsidR="0099369E" w:rsidTr="00F90EFE">
        <w:trPr>
          <w:divId w:val="806047172"/>
        </w:trPr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2024年1月2日</w:t>
            </w:r>
          </w:p>
        </w:tc>
      </w:tr>
      <w:tr w:rsidR="0099369E" w:rsidTr="00F90EFE">
        <w:trPr>
          <w:divId w:val="806047172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69E" w:rsidRDefault="0099369E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2024年1月2日</w:t>
            </w:r>
          </w:p>
        </w:tc>
      </w:tr>
      <w:tr w:rsidR="0099369E" w:rsidTr="00F90EFE">
        <w:trPr>
          <w:divId w:val="806047172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69E" w:rsidRDefault="0099369E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2024年1月2日</w:t>
            </w:r>
          </w:p>
        </w:tc>
      </w:tr>
      <w:tr w:rsidR="0099369E" w:rsidTr="00F90EFE">
        <w:trPr>
          <w:divId w:val="806047172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69E" w:rsidRDefault="0099369E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4D6CCF">
              <w:rPr>
                <w:rFonts w:ascii="Calibri" w:hAnsi="Calibri" w:hint="eastAsia"/>
              </w:rPr>
              <w:t>）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F90EFE">
            <w:pPr>
              <w:rPr>
                <w:rFonts w:hint="eastAsia"/>
              </w:rPr>
            </w:pPr>
            <w:r w:rsidRPr="00F90EFE">
              <w:t>1</w:t>
            </w:r>
            <w:r>
              <w:t>,</w:t>
            </w:r>
            <w:r w:rsidRPr="00F90EFE">
              <w:t>000,000,000.00</w:t>
            </w:r>
          </w:p>
        </w:tc>
      </w:tr>
      <w:tr w:rsidR="00F90EFE" w:rsidTr="00F90EFE">
        <w:trPr>
          <w:divId w:val="806047172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EFE" w:rsidRDefault="00F90EFE" w:rsidP="00F90EFE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限制转换转入金额（单位：人民币元</w:t>
            </w:r>
            <w:r>
              <w:rPr>
                <w:rFonts w:hint="eastAsia"/>
              </w:rPr>
              <w:t xml:space="preserve"> </w:t>
            </w:r>
            <w:r w:rsidRPr="004D6CCF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F90EFE">
              <w:t>1</w:t>
            </w:r>
            <w:r>
              <w:t>,</w:t>
            </w:r>
            <w:r w:rsidRPr="00F90EFE">
              <w:t>000,000,000.00</w:t>
            </w:r>
          </w:p>
        </w:tc>
      </w:tr>
      <w:tr w:rsidR="00F90EFE" w:rsidTr="00F90EFE">
        <w:trPr>
          <w:divId w:val="806047172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EFE" w:rsidRDefault="00F90EFE" w:rsidP="00F90EFE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限制定期定额投资金额（单位：人民币元</w:t>
            </w:r>
            <w:r w:rsidRPr="004D6CCF">
              <w:rPr>
                <w:rFonts w:ascii="Calibri" w:hAnsi="Calibri" w:hint="eastAsia"/>
              </w:rPr>
              <w:t xml:space="preserve"> </w:t>
            </w:r>
            <w:r w:rsidRPr="004D6CCF">
              <w:rPr>
                <w:rFonts w:ascii="Calibri" w:hAnsi="Calibri" w:hint="eastAsia"/>
              </w:rPr>
              <w:t>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F90EFE">
              <w:t>1</w:t>
            </w:r>
            <w:r>
              <w:t>,</w:t>
            </w:r>
            <w:r w:rsidRPr="00F90EFE">
              <w:t>000,000,000.00</w:t>
            </w:r>
          </w:p>
        </w:tc>
      </w:tr>
      <w:tr w:rsidR="0099369E" w:rsidTr="00F90EFE">
        <w:trPr>
          <w:divId w:val="806047172"/>
        </w:trPr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369E" w:rsidRDefault="0099369E">
            <w:pPr>
              <w:widowControl/>
              <w:jc w:val="left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暂停大额申购、大额转换转入、定期定额投资的原因说明</w:t>
            </w:r>
          </w:p>
        </w:tc>
        <w:tc>
          <w:tcPr>
            <w:tcW w:w="593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为了保证基金的平稳运作，保护基金持有人的利益</w:t>
            </w:r>
          </w:p>
        </w:tc>
      </w:tr>
      <w:tr w:rsidR="0099369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华富天益货币A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华富天益货币B</w:t>
            </w:r>
          </w:p>
        </w:tc>
      </w:tr>
      <w:tr w:rsidR="0099369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004198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004199</w:t>
            </w:r>
          </w:p>
        </w:tc>
      </w:tr>
      <w:tr w:rsidR="0099369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是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99369E" w:rsidRDefault="0099369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t>是</w:t>
            </w:r>
          </w:p>
        </w:tc>
      </w:tr>
      <w:tr w:rsidR="00F90EF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4D6CCF"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F90EFE">
              <w:t>1</w:t>
            </w:r>
            <w:r>
              <w:t>,</w:t>
            </w:r>
            <w:r w:rsidRPr="00F90EFE">
              <w:t>000,000,000.00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F90EFE">
              <w:t>1</w:t>
            </w:r>
            <w:r>
              <w:t>,</w:t>
            </w:r>
            <w:r w:rsidRPr="00F90EFE">
              <w:t>000,000,000.00</w:t>
            </w:r>
          </w:p>
        </w:tc>
      </w:tr>
      <w:tr w:rsidR="00F90EF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4D6CCF">
              <w:rPr>
                <w:rFonts w:hint="eastAsia"/>
              </w:rPr>
              <w:lastRenderedPageBreak/>
              <w:t xml:space="preserve">下属分级基金的限制转换转入金额（单位：人民币元） 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F90EFE">
              <w:t>1</w:t>
            </w:r>
            <w:r>
              <w:t>,</w:t>
            </w:r>
            <w:r w:rsidRPr="00F90EFE">
              <w:t>000,000,000.00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F90EFE">
              <w:t>1</w:t>
            </w:r>
            <w:r>
              <w:t>,</w:t>
            </w:r>
            <w:r w:rsidRPr="00F90EFE">
              <w:t>000,000,000.00</w:t>
            </w:r>
          </w:p>
        </w:tc>
      </w:tr>
      <w:tr w:rsidR="00F90EFE" w:rsidTr="00F90EFE">
        <w:trPr>
          <w:divId w:val="806047172"/>
        </w:trPr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4D6CCF"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F90EFE">
              <w:t>1</w:t>
            </w:r>
            <w:r>
              <w:t>,</w:t>
            </w:r>
            <w:r w:rsidRPr="00F90EFE">
              <w:t>000,000,000.00</w:t>
            </w:r>
          </w:p>
        </w:tc>
        <w:tc>
          <w:tcPr>
            <w:tcW w:w="2965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EFE" w:rsidRDefault="00F90EFE" w:rsidP="00F90EFE">
            <w:pPr>
              <w:rPr>
                <w:rFonts w:hint="eastAsia"/>
              </w:rPr>
            </w:pPr>
            <w:r w:rsidRPr="00F90EFE">
              <w:t>1</w:t>
            </w:r>
            <w:r>
              <w:t>,</w:t>
            </w:r>
            <w:r w:rsidRPr="00F90EFE">
              <w:t>000,000,000.00</w:t>
            </w:r>
          </w:p>
        </w:tc>
      </w:tr>
    </w:tbl>
    <w:p w:rsidR="0099369E" w:rsidRDefault="0099369E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34322063"/>
      <w:bookmarkStart w:id="14" w:name="_Toc513295941"/>
      <w:bookmarkStart w:id="15" w:name="_Toc513295878"/>
      <w:bookmarkStart w:id="16" w:name="_Toc438646481"/>
      <w:bookmarkStart w:id="17" w:name="_Toc481075097"/>
      <w:bookmarkStart w:id="18" w:name="_Toc490050049"/>
      <w:bookmarkStart w:id="19" w:name="_Toc512519529"/>
      <w:bookmarkStart w:id="20" w:name="_Toc17897969"/>
      <w:bookmarkStart w:id="21" w:name="_Toc17898228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99369E" w:rsidRDefault="0099369E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本基金的所有代销机构及本基金的直销网点自2024年1月2日起，暂停接受单个基金账户对本基金日累计金额</w:t>
      </w:r>
      <w:r w:rsidR="00F90EFE" w:rsidRPr="00F90EFE">
        <w:t>1</w:t>
      </w:r>
      <w:r w:rsidR="00F90EFE">
        <w:t>,</w:t>
      </w:r>
      <w:r w:rsidR="00F90EFE" w:rsidRPr="00F90EFE">
        <w:t>000,000,000.00</w:t>
      </w:r>
      <w:r>
        <w:rPr>
          <w:rFonts w:hint="eastAsia"/>
          <w:szCs w:val="21"/>
        </w:rPr>
        <w:t>元以上（不含</w:t>
      </w:r>
      <w:r w:rsidR="00F90EFE" w:rsidRPr="00F90EFE">
        <w:t>1</w:t>
      </w:r>
      <w:r w:rsidR="00F90EFE">
        <w:t>,</w:t>
      </w:r>
      <w:r w:rsidR="00F90EFE" w:rsidRPr="00F90EFE">
        <w:t>000,000,000.00</w:t>
      </w:r>
      <w:r>
        <w:rPr>
          <w:rFonts w:hint="eastAsia"/>
          <w:szCs w:val="21"/>
        </w:rPr>
        <w:t>元，A类及B类金额合并计算）的申购、定投、转换转入业务申请，如单日单个基金账户累计的申购、定投、转换转入本基金金额超过人民币</w:t>
      </w:r>
      <w:r w:rsidR="00F90EFE" w:rsidRPr="00F90EFE">
        <w:t>1</w:t>
      </w:r>
      <w:r w:rsidR="00F90EFE">
        <w:t>,</w:t>
      </w:r>
      <w:r w:rsidR="00F90EFE" w:rsidRPr="00F90EFE">
        <w:t>000,000,000.00</w:t>
      </w:r>
      <w:r>
        <w:rPr>
          <w:rFonts w:hint="eastAsia"/>
          <w:szCs w:val="21"/>
        </w:rPr>
        <w:t>元以上（不含</w:t>
      </w:r>
      <w:r w:rsidR="00F90EFE" w:rsidRPr="00F90EFE">
        <w:t>1</w:t>
      </w:r>
      <w:r w:rsidR="00F90EFE">
        <w:t>,</w:t>
      </w:r>
      <w:r w:rsidR="00F90EFE" w:rsidRPr="00F90EFE">
        <w:t>000,000,000.00</w:t>
      </w:r>
      <w:r>
        <w:rPr>
          <w:rFonts w:hint="eastAsia"/>
          <w:szCs w:val="21"/>
        </w:rPr>
        <w:t>元，A类及B类金额合并计算），本基金管理人有权拒绝。</w:t>
      </w:r>
      <w:r>
        <w:rPr>
          <w:rFonts w:hint="eastAsia"/>
          <w:szCs w:val="21"/>
        </w:rPr>
        <w:br/>
        <w:t xml:space="preserve">　　本基金的申购和定投及转换转入限额安排后续如有调整，请以本公司最新公告为准。</w:t>
      </w:r>
      <w:r>
        <w:rPr>
          <w:rFonts w:hint="eastAsia"/>
          <w:szCs w:val="21"/>
        </w:rPr>
        <w:br/>
        <w:t xml:space="preserve">　　如有疑问，请拨打客户服务热线：400-700-8001或登陆网站www.hffund.com获取相关信息。</w:t>
      </w:r>
      <w:r>
        <w:rPr>
          <w:rFonts w:hint="eastAsia"/>
          <w:szCs w:val="21"/>
        </w:rPr>
        <w:br/>
        <w:t xml:space="preserve">　　本公告的解释权归本基金管理人。</w:t>
      </w:r>
      <w:r>
        <w:rPr>
          <w:rFonts w:hint="eastAsia"/>
          <w:szCs w:val="21"/>
        </w:rPr>
        <w:br/>
        <w:t xml:space="preserve">　　风险提示：本公司承诺以诚实信用、勤勉尽责的原则管理和运用基金资产，但不保证基金一定盈利，也不保证最低收益。投资者投资基金之前应认真阅读各基金的《基金合同》《招募说明书》《基金产品资料概要》等文件。敬请投资者留意投资风险。</w:t>
      </w:r>
      <w:r>
        <w:rPr>
          <w:rFonts w:hint="eastAsia"/>
          <w:szCs w:val="21"/>
        </w:rPr>
        <w:br/>
        <w:t xml:space="preserve">　　特此公告。</w:t>
      </w:r>
    </w:p>
    <w:p w:rsidR="0099369E" w:rsidRDefault="0099369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9369E" w:rsidRDefault="0099369E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99369E" w:rsidRDefault="0099369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华富基金管理有限公司</w:t>
      </w:r>
    </w:p>
    <w:p w:rsidR="0099369E" w:rsidRDefault="0099369E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2023年12月</w:t>
      </w:r>
      <w:r w:rsidR="003E61CE">
        <w:rPr>
          <w:b/>
          <w:bCs/>
          <w:sz w:val="24"/>
          <w:szCs w:val="24"/>
        </w:rPr>
        <w:t>30</w:t>
      </w:r>
      <w:r>
        <w:rPr>
          <w:rFonts w:hint="eastAsia"/>
          <w:b/>
          <w:bCs/>
          <w:sz w:val="24"/>
          <w:szCs w:val="24"/>
        </w:rPr>
        <w:t>日</w:t>
      </w:r>
      <w:bookmarkEnd w:id="22"/>
      <w:r>
        <w:rPr>
          <w:rFonts w:hint="eastAsia"/>
          <w:b/>
          <w:bCs/>
          <w:sz w:val="24"/>
          <w:szCs w:val="24"/>
        </w:rPr>
        <w:t xml:space="preserve"> </w:t>
      </w:r>
    </w:p>
    <w:sectPr w:rsidR="0099369E">
      <w:headerReference w:type="default" r:id="rId8"/>
      <w:footerReference w:type="default" r:id="rId9"/>
      <w:headerReference w:type="first" r:id="rId10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11" w:rsidRDefault="0064541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endnote>
  <w:endnote w:type="continuationSeparator" w:id="0">
    <w:p w:rsidR="00645411" w:rsidRDefault="0064541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9E" w:rsidRDefault="0099369E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77B32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77B32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11" w:rsidRDefault="0064541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  <w:footnote w:type="continuationSeparator" w:id="0">
    <w:p w:rsidR="00645411" w:rsidRDefault="00645411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9E" w:rsidRDefault="0099369E">
    <w:pPr>
      <w:pStyle w:val="a8"/>
      <w:jc w:val="right"/>
    </w:pPr>
    <w:r>
      <w:rPr>
        <w:rFonts w:hint="eastAsia"/>
      </w:rPr>
      <w:t>关于华富天益货币市场基金暂停大额申购、定投及转换转入业务的公告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69E" w:rsidRDefault="0099369E">
    <w:pPr>
      <w:pStyle w:val="a8"/>
      <w:jc w:val="right"/>
      <w:rPr>
        <w:rFonts w:hint="eastAsia"/>
      </w:rPr>
    </w:pPr>
    <w:r>
      <w:rPr>
        <w:rFonts w:hint="eastAsia"/>
      </w:rPr>
      <w:t>关于华富天益货币市场基金暂停大额申购、定投及转换转入业务的公告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CCF"/>
    <w:rsid w:val="000E728D"/>
    <w:rsid w:val="003E61CE"/>
    <w:rsid w:val="004D6CCF"/>
    <w:rsid w:val="00645411"/>
    <w:rsid w:val="007F2584"/>
    <w:rsid w:val="00877B32"/>
    <w:rsid w:val="008E52DE"/>
    <w:rsid w:val="0099369E"/>
    <w:rsid w:val="00BE3E83"/>
    <w:rsid w:val="00C430CC"/>
    <w:rsid w:val="00F9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2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3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3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5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6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7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8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9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3">
    <w:name w:val="脚注文本 字符1"/>
    <w:link w:val="a6"/>
    <w:locked/>
    <w:rPr>
      <w:kern w:val="2"/>
      <w:sz w:val="18"/>
      <w:szCs w:val="18"/>
    </w:rPr>
  </w:style>
  <w:style w:type="character" w:customStyle="1" w:styleId="23">
    <w:name w:val="页眉 字符2"/>
    <w:link w:val="a8"/>
    <w:locked/>
    <w:rPr>
      <w:kern w:val="2"/>
      <w:sz w:val="18"/>
      <w:szCs w:val="18"/>
    </w:rPr>
  </w:style>
  <w:style w:type="character" w:customStyle="1" w:styleId="14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5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6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7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8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9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a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2F129-0BAF-4241-83F1-6C5B9C4D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4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2023-12-29T08:34:00Z</cp:lastPrinted>
  <dcterms:created xsi:type="dcterms:W3CDTF">2023-12-29T16:02:00Z</dcterms:created>
  <dcterms:modified xsi:type="dcterms:W3CDTF">2023-12-29T16:02:00Z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