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61" w:rsidRDefault="00737443">
      <w:pPr>
        <w:spacing w:line="50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申万菱信基金管理有限公司</w:t>
      </w:r>
    </w:p>
    <w:p w:rsidR="00A26361" w:rsidRDefault="00737443" w:rsidP="00AC2336">
      <w:pPr>
        <w:spacing w:afterLines="50" w:line="50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关于旗下部分基金新增代销机构的公告</w:t>
      </w:r>
    </w:p>
    <w:p w:rsidR="00A26361" w:rsidRDefault="00737443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为满足广大投资者的理财需求，经申万菱信基金管理有限公司（以下简称“本公司”）与部分代销机构协商一致，本公司旗下部分基金新增代销机构，详情如下：</w:t>
      </w:r>
    </w:p>
    <w:p w:rsidR="00A26361" w:rsidRDefault="00737443">
      <w:pPr>
        <w:pStyle w:val="ab"/>
        <w:numPr>
          <w:ilvl w:val="0"/>
          <w:numId w:val="1"/>
        </w:numPr>
        <w:spacing w:line="500" w:lineRule="exact"/>
        <w:ind w:left="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适用基金范围</w:t>
      </w:r>
    </w:p>
    <w:p w:rsidR="00A26361" w:rsidRDefault="00737443">
      <w:pPr>
        <w:numPr>
          <w:ilvl w:val="0"/>
          <w:numId w:val="2"/>
        </w:numPr>
        <w:spacing w:line="500" w:lineRule="exact"/>
        <w:ind w:left="0"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2024年1月</w:t>
      </w:r>
      <w:r>
        <w:rPr>
          <w:rFonts w:ascii="仿宋" w:eastAsia="仿宋" w:hAnsi="仿宋" w:cs="仿宋"/>
          <w:sz w:val="24"/>
          <w:szCs w:val="24"/>
        </w:rPr>
        <w:t>3</w:t>
      </w:r>
      <w:r>
        <w:rPr>
          <w:rFonts w:ascii="仿宋" w:eastAsia="仿宋" w:hAnsi="仿宋" w:cs="仿宋" w:hint="eastAsia"/>
          <w:sz w:val="24"/>
          <w:szCs w:val="24"/>
        </w:rPr>
        <w:t>日起，投资者可通过麦高证券有限责任公司（简称“麦高证券”）办理下表所列基金产品的开户、申购、赎回等相关业务。</w:t>
      </w:r>
    </w:p>
    <w:tbl>
      <w:tblPr>
        <w:tblW w:w="8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244"/>
        <w:gridCol w:w="6227"/>
        <w:gridCol w:w="1151"/>
      </w:tblGrid>
      <w:tr w:rsidR="00A26361">
        <w:trPr>
          <w:trHeight w:val="285"/>
        </w:trPr>
        <w:tc>
          <w:tcPr>
            <w:tcW w:w="1244" w:type="dxa"/>
            <w:shd w:val="clear" w:color="auto" w:fill="FFFFFF" w:themeFill="background1"/>
            <w:noWrap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基金代码</w:t>
            </w:r>
          </w:p>
        </w:tc>
        <w:tc>
          <w:tcPr>
            <w:tcW w:w="6227" w:type="dxa"/>
            <w:shd w:val="clear" w:color="auto" w:fill="FFFFFF" w:themeFill="background1"/>
            <w:noWrap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基金名称</w:t>
            </w:r>
          </w:p>
        </w:tc>
        <w:tc>
          <w:tcPr>
            <w:tcW w:w="1151" w:type="dxa"/>
            <w:shd w:val="clear" w:color="auto" w:fill="FFFFFF" w:themeFill="background1"/>
            <w:noWrap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TA类别</w:t>
            </w:r>
          </w:p>
        </w:tc>
      </w:tr>
      <w:tr w:rsidR="00A26361">
        <w:trPr>
          <w:trHeight w:val="285"/>
        </w:trPr>
        <w:tc>
          <w:tcPr>
            <w:tcW w:w="1244" w:type="dxa"/>
            <w:shd w:val="clear" w:color="auto" w:fill="FFFFFF" w:themeFill="background1"/>
            <w:noWrap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010735</w:t>
            </w:r>
          </w:p>
        </w:tc>
        <w:tc>
          <w:tcPr>
            <w:tcW w:w="6227" w:type="dxa"/>
            <w:shd w:val="clear" w:color="auto" w:fill="FFFFFF" w:themeFill="background1"/>
            <w:noWrap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申万菱信稳健养老目标一年持有期混合型发起式基金中基金（FOF）A</w:t>
            </w:r>
          </w:p>
        </w:tc>
        <w:tc>
          <w:tcPr>
            <w:tcW w:w="1151" w:type="dxa"/>
            <w:shd w:val="clear" w:color="auto" w:fill="FFFFFF" w:themeFill="background1"/>
            <w:noWrap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自建TA</w:t>
            </w:r>
          </w:p>
        </w:tc>
      </w:tr>
      <w:tr w:rsidR="00A26361">
        <w:trPr>
          <w:trHeight w:val="285"/>
        </w:trPr>
        <w:tc>
          <w:tcPr>
            <w:tcW w:w="1244" w:type="dxa"/>
            <w:shd w:val="clear" w:color="auto" w:fill="FFFFFF" w:themeFill="background1"/>
            <w:noWrap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003986</w:t>
            </w:r>
          </w:p>
        </w:tc>
        <w:tc>
          <w:tcPr>
            <w:tcW w:w="6227" w:type="dxa"/>
            <w:shd w:val="clear" w:color="auto" w:fill="FFFFFF" w:themeFill="background1"/>
            <w:noWrap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申万菱信中证500指数优选增强型证券投资基金A</w:t>
            </w:r>
          </w:p>
        </w:tc>
        <w:tc>
          <w:tcPr>
            <w:tcW w:w="1151" w:type="dxa"/>
            <w:shd w:val="clear" w:color="auto" w:fill="FFFFFF" w:themeFill="background1"/>
            <w:noWrap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自建TA</w:t>
            </w:r>
          </w:p>
        </w:tc>
      </w:tr>
      <w:tr w:rsidR="00A26361">
        <w:trPr>
          <w:trHeight w:val="285"/>
        </w:trPr>
        <w:tc>
          <w:tcPr>
            <w:tcW w:w="1244" w:type="dxa"/>
            <w:shd w:val="clear" w:color="auto" w:fill="FFFFFF" w:themeFill="background1"/>
            <w:noWrap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007794</w:t>
            </w:r>
          </w:p>
        </w:tc>
        <w:tc>
          <w:tcPr>
            <w:tcW w:w="6227" w:type="dxa"/>
            <w:shd w:val="clear" w:color="auto" w:fill="FFFFFF" w:themeFill="background1"/>
            <w:noWrap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申万菱信中证500指数优选增强型证券投资基金C</w:t>
            </w:r>
          </w:p>
        </w:tc>
        <w:tc>
          <w:tcPr>
            <w:tcW w:w="1151" w:type="dxa"/>
            <w:shd w:val="clear" w:color="auto" w:fill="FFFFFF" w:themeFill="background1"/>
            <w:noWrap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自建TA</w:t>
            </w:r>
          </w:p>
        </w:tc>
      </w:tr>
      <w:tr w:rsidR="00A26361">
        <w:trPr>
          <w:trHeight w:val="285"/>
        </w:trPr>
        <w:tc>
          <w:tcPr>
            <w:tcW w:w="1244" w:type="dxa"/>
            <w:shd w:val="clear" w:color="auto" w:fill="FFFFFF" w:themeFill="background1"/>
            <w:noWrap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015921</w:t>
            </w:r>
          </w:p>
        </w:tc>
        <w:tc>
          <w:tcPr>
            <w:tcW w:w="6227" w:type="dxa"/>
            <w:shd w:val="clear" w:color="auto" w:fill="FFFFFF" w:themeFill="background1"/>
            <w:noWrap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申万菱信国证2000指数增强型发起式证券投资基金A</w:t>
            </w:r>
          </w:p>
        </w:tc>
        <w:tc>
          <w:tcPr>
            <w:tcW w:w="1151" w:type="dxa"/>
            <w:shd w:val="clear" w:color="auto" w:fill="FFFFFF" w:themeFill="background1"/>
            <w:noWrap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自建TA</w:t>
            </w:r>
          </w:p>
        </w:tc>
      </w:tr>
      <w:tr w:rsidR="00A26361">
        <w:trPr>
          <w:trHeight w:val="285"/>
        </w:trPr>
        <w:tc>
          <w:tcPr>
            <w:tcW w:w="1244" w:type="dxa"/>
            <w:shd w:val="clear" w:color="auto" w:fill="FFFFFF" w:themeFill="background1"/>
            <w:noWrap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015922</w:t>
            </w:r>
          </w:p>
        </w:tc>
        <w:tc>
          <w:tcPr>
            <w:tcW w:w="6227" w:type="dxa"/>
            <w:shd w:val="clear" w:color="auto" w:fill="FFFFFF" w:themeFill="background1"/>
            <w:noWrap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申万菱信国证2000指数增强型发起式证券投资基金C</w:t>
            </w:r>
          </w:p>
        </w:tc>
        <w:tc>
          <w:tcPr>
            <w:tcW w:w="1151" w:type="dxa"/>
            <w:shd w:val="clear" w:color="auto" w:fill="FFFFFF" w:themeFill="background1"/>
            <w:noWrap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自建TA</w:t>
            </w:r>
          </w:p>
        </w:tc>
      </w:tr>
      <w:tr w:rsidR="00A26361">
        <w:trPr>
          <w:trHeight w:val="285"/>
        </w:trPr>
        <w:tc>
          <w:tcPr>
            <w:tcW w:w="1244" w:type="dxa"/>
            <w:shd w:val="clear" w:color="auto" w:fill="FFFFFF" w:themeFill="background1"/>
            <w:noWrap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310398</w:t>
            </w:r>
          </w:p>
        </w:tc>
        <w:tc>
          <w:tcPr>
            <w:tcW w:w="6227" w:type="dxa"/>
            <w:shd w:val="clear" w:color="auto" w:fill="FFFFFF" w:themeFill="background1"/>
            <w:noWrap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申万菱信沪深300价值指数证券投资基金A</w:t>
            </w:r>
          </w:p>
        </w:tc>
        <w:tc>
          <w:tcPr>
            <w:tcW w:w="1151" w:type="dxa"/>
            <w:shd w:val="clear" w:color="auto" w:fill="FFFFFF" w:themeFill="background1"/>
            <w:noWrap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自建TA</w:t>
            </w:r>
          </w:p>
        </w:tc>
      </w:tr>
      <w:tr w:rsidR="00A26361">
        <w:trPr>
          <w:trHeight w:val="285"/>
        </w:trPr>
        <w:tc>
          <w:tcPr>
            <w:tcW w:w="1244" w:type="dxa"/>
            <w:shd w:val="clear" w:color="auto" w:fill="FFFFFF" w:themeFill="background1"/>
            <w:noWrap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007800</w:t>
            </w:r>
          </w:p>
        </w:tc>
        <w:tc>
          <w:tcPr>
            <w:tcW w:w="6227" w:type="dxa"/>
            <w:shd w:val="clear" w:color="auto" w:fill="FFFFFF" w:themeFill="background1"/>
            <w:noWrap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申万菱信沪深300价值指数证券投资基金C</w:t>
            </w:r>
          </w:p>
        </w:tc>
        <w:tc>
          <w:tcPr>
            <w:tcW w:w="1151" w:type="dxa"/>
            <w:shd w:val="clear" w:color="auto" w:fill="FFFFFF" w:themeFill="background1"/>
            <w:noWrap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自建TA</w:t>
            </w:r>
          </w:p>
        </w:tc>
      </w:tr>
      <w:tr w:rsidR="00A26361">
        <w:trPr>
          <w:trHeight w:val="285"/>
        </w:trPr>
        <w:tc>
          <w:tcPr>
            <w:tcW w:w="1244" w:type="dxa"/>
            <w:shd w:val="clear" w:color="auto" w:fill="FFFFFF" w:themeFill="background1"/>
            <w:noWrap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006609</w:t>
            </w:r>
          </w:p>
        </w:tc>
        <w:tc>
          <w:tcPr>
            <w:tcW w:w="6227" w:type="dxa"/>
            <w:shd w:val="clear" w:color="auto" w:fill="FFFFFF" w:themeFill="background1"/>
            <w:noWrap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申万菱信安泰瑞利中短债债券型证券投资基金A</w:t>
            </w:r>
          </w:p>
        </w:tc>
        <w:tc>
          <w:tcPr>
            <w:tcW w:w="1151" w:type="dxa"/>
            <w:shd w:val="clear" w:color="auto" w:fill="FFFFFF" w:themeFill="background1"/>
            <w:noWrap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自建TA</w:t>
            </w:r>
          </w:p>
        </w:tc>
      </w:tr>
      <w:tr w:rsidR="00A26361">
        <w:trPr>
          <w:trHeight w:val="285"/>
        </w:trPr>
        <w:tc>
          <w:tcPr>
            <w:tcW w:w="1244" w:type="dxa"/>
            <w:shd w:val="clear" w:color="auto" w:fill="FFFFFF" w:themeFill="background1"/>
            <w:noWrap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007240</w:t>
            </w:r>
          </w:p>
        </w:tc>
        <w:tc>
          <w:tcPr>
            <w:tcW w:w="6227" w:type="dxa"/>
            <w:shd w:val="clear" w:color="auto" w:fill="FFFFFF" w:themeFill="background1"/>
            <w:noWrap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申万菱信安泰瑞利中短债债券型证券投资基金C</w:t>
            </w:r>
          </w:p>
        </w:tc>
        <w:tc>
          <w:tcPr>
            <w:tcW w:w="1151" w:type="dxa"/>
            <w:shd w:val="clear" w:color="auto" w:fill="FFFFFF" w:themeFill="background1"/>
            <w:noWrap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自建TA</w:t>
            </w:r>
          </w:p>
        </w:tc>
      </w:tr>
      <w:tr w:rsidR="00A26361">
        <w:trPr>
          <w:trHeight w:val="285"/>
        </w:trPr>
        <w:tc>
          <w:tcPr>
            <w:tcW w:w="1244" w:type="dxa"/>
            <w:shd w:val="clear" w:color="auto" w:fill="FFFFFF" w:themeFill="background1"/>
            <w:noWrap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310338</w:t>
            </w:r>
          </w:p>
        </w:tc>
        <w:tc>
          <w:tcPr>
            <w:tcW w:w="6227" w:type="dxa"/>
            <w:shd w:val="clear" w:color="auto" w:fill="FFFFFF" w:themeFill="background1"/>
            <w:noWrap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申万菱信收益宝货币市场基金A</w:t>
            </w:r>
          </w:p>
        </w:tc>
        <w:tc>
          <w:tcPr>
            <w:tcW w:w="1151" w:type="dxa"/>
            <w:shd w:val="clear" w:color="auto" w:fill="FFFFFF" w:themeFill="background1"/>
            <w:noWrap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自建TA</w:t>
            </w:r>
          </w:p>
        </w:tc>
      </w:tr>
      <w:tr w:rsidR="00A26361">
        <w:trPr>
          <w:trHeight w:val="285"/>
        </w:trPr>
        <w:tc>
          <w:tcPr>
            <w:tcW w:w="1244" w:type="dxa"/>
            <w:shd w:val="clear" w:color="auto" w:fill="FFFFFF" w:themeFill="background1"/>
            <w:noWrap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310339</w:t>
            </w:r>
          </w:p>
        </w:tc>
        <w:tc>
          <w:tcPr>
            <w:tcW w:w="6227" w:type="dxa"/>
            <w:shd w:val="clear" w:color="auto" w:fill="FFFFFF" w:themeFill="background1"/>
            <w:noWrap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申万菱信收益宝货币市场基金B</w:t>
            </w:r>
          </w:p>
        </w:tc>
        <w:tc>
          <w:tcPr>
            <w:tcW w:w="1151" w:type="dxa"/>
            <w:shd w:val="clear" w:color="auto" w:fill="FFFFFF" w:themeFill="background1"/>
            <w:noWrap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自建TA</w:t>
            </w:r>
          </w:p>
        </w:tc>
      </w:tr>
      <w:tr w:rsidR="00A26361">
        <w:trPr>
          <w:trHeight w:val="285"/>
        </w:trPr>
        <w:tc>
          <w:tcPr>
            <w:tcW w:w="1244" w:type="dxa"/>
            <w:shd w:val="clear" w:color="auto" w:fill="FFFFFF" w:themeFill="background1"/>
            <w:noWrap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017111</w:t>
            </w:r>
          </w:p>
        </w:tc>
        <w:tc>
          <w:tcPr>
            <w:tcW w:w="6227" w:type="dxa"/>
            <w:shd w:val="clear" w:color="auto" w:fill="FFFFFF" w:themeFill="background1"/>
            <w:noWrap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申万菱信中证同业存单AAA指数7天持有期证券投资基金</w:t>
            </w:r>
          </w:p>
        </w:tc>
        <w:tc>
          <w:tcPr>
            <w:tcW w:w="1151" w:type="dxa"/>
            <w:shd w:val="clear" w:color="auto" w:fill="FFFFFF" w:themeFill="background1"/>
            <w:noWrap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自建TA</w:t>
            </w:r>
          </w:p>
        </w:tc>
      </w:tr>
      <w:tr w:rsidR="00A26361">
        <w:trPr>
          <w:trHeight w:val="285"/>
        </w:trPr>
        <w:tc>
          <w:tcPr>
            <w:tcW w:w="1244" w:type="dxa"/>
            <w:shd w:val="clear" w:color="auto" w:fill="FFFFFF" w:themeFill="background1"/>
            <w:noWrap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016105</w:t>
            </w:r>
          </w:p>
        </w:tc>
        <w:tc>
          <w:tcPr>
            <w:tcW w:w="6227" w:type="dxa"/>
            <w:shd w:val="clear" w:color="auto" w:fill="FFFFFF" w:themeFill="background1"/>
            <w:noWrap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申万菱信兴乐优选混合型证券投资基金A</w:t>
            </w:r>
          </w:p>
        </w:tc>
        <w:tc>
          <w:tcPr>
            <w:tcW w:w="1151" w:type="dxa"/>
            <w:shd w:val="clear" w:color="auto" w:fill="FFFFFF" w:themeFill="background1"/>
            <w:noWrap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自建TA</w:t>
            </w:r>
          </w:p>
        </w:tc>
      </w:tr>
      <w:tr w:rsidR="00A26361">
        <w:trPr>
          <w:trHeight w:val="285"/>
        </w:trPr>
        <w:tc>
          <w:tcPr>
            <w:tcW w:w="1244" w:type="dxa"/>
            <w:shd w:val="clear" w:color="auto" w:fill="FFFFFF" w:themeFill="background1"/>
            <w:noWrap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016106</w:t>
            </w:r>
          </w:p>
        </w:tc>
        <w:tc>
          <w:tcPr>
            <w:tcW w:w="6227" w:type="dxa"/>
            <w:shd w:val="clear" w:color="auto" w:fill="FFFFFF" w:themeFill="background1"/>
            <w:noWrap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申万菱信兴乐优选混合型证券投资基金C</w:t>
            </w:r>
          </w:p>
        </w:tc>
        <w:tc>
          <w:tcPr>
            <w:tcW w:w="1151" w:type="dxa"/>
            <w:shd w:val="clear" w:color="auto" w:fill="FFFFFF" w:themeFill="background1"/>
            <w:noWrap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自建TA</w:t>
            </w:r>
          </w:p>
        </w:tc>
      </w:tr>
    </w:tbl>
    <w:p w:rsidR="00A26361" w:rsidRDefault="00737443">
      <w:pPr>
        <w:numPr>
          <w:ilvl w:val="0"/>
          <w:numId w:val="2"/>
        </w:numPr>
        <w:spacing w:line="500" w:lineRule="exact"/>
        <w:ind w:left="0"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lastRenderedPageBreak/>
        <w:t>2024年1月2日起，投资者可通过中泰证券股份有限公司（简称“中泰证券”）和湘财证券股份有限公司（简称“湘财证券”）办理下表所列基金产品的开户、认购等相关业务。</w:t>
      </w:r>
    </w:p>
    <w:tbl>
      <w:tblPr>
        <w:tblW w:w="8427" w:type="dxa"/>
        <w:tblInd w:w="93" w:type="dxa"/>
        <w:tblLook w:val="04A0"/>
      </w:tblPr>
      <w:tblGrid>
        <w:gridCol w:w="1586"/>
        <w:gridCol w:w="5409"/>
        <w:gridCol w:w="1432"/>
      </w:tblGrid>
      <w:tr w:rsidR="00A26361">
        <w:trPr>
          <w:trHeight w:val="54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基金代码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基金名称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TA类别</w:t>
            </w:r>
          </w:p>
        </w:tc>
      </w:tr>
      <w:tr w:rsidR="00A26361">
        <w:trPr>
          <w:trHeight w:val="54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019731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申万菱信添利六个月持有期混合型证券投资基金A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自建TA</w:t>
            </w:r>
          </w:p>
        </w:tc>
      </w:tr>
      <w:tr w:rsidR="00737443">
        <w:trPr>
          <w:trHeight w:val="54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443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 w:rsidRPr="00737443"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  <w:t>019732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443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申万菱信添利六个月持有期混合型证券投资基金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  <w:t>C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443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自建TA</w:t>
            </w:r>
            <w:bookmarkStart w:id="0" w:name="_GoBack"/>
            <w:bookmarkEnd w:id="0"/>
          </w:p>
        </w:tc>
      </w:tr>
    </w:tbl>
    <w:p w:rsidR="00A26361" w:rsidRDefault="00737443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注：1、本公司旗下自建TA基金与中登（“中登”为中国证券登记结算有限公司的简称）TA基金之间不能相互转换，以上基金产品的具体业务规则以各代销机构的规定为准。2、申万菱信添利六个月持有期混合型证券投资基金于2023年12月4日至2024年1月9日通过本公司直销中心和各代销机构的代销网点公开发售。</w:t>
      </w:r>
    </w:p>
    <w:p w:rsidR="00A26361" w:rsidRDefault="00737443">
      <w:pPr>
        <w:numPr>
          <w:ilvl w:val="0"/>
          <w:numId w:val="1"/>
        </w:numPr>
        <w:spacing w:line="500" w:lineRule="exact"/>
        <w:ind w:left="0"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咨询方式</w:t>
      </w:r>
    </w:p>
    <w:tbl>
      <w:tblPr>
        <w:tblW w:w="4998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2108"/>
        <w:gridCol w:w="2958"/>
        <w:gridCol w:w="3453"/>
      </w:tblGrid>
      <w:tr w:rsidR="00A26361">
        <w:trPr>
          <w:trHeight w:val="375"/>
        </w:trPr>
        <w:tc>
          <w:tcPr>
            <w:tcW w:w="1237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代销机构简称</w:t>
            </w:r>
          </w:p>
        </w:tc>
        <w:tc>
          <w:tcPr>
            <w:tcW w:w="1736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客服电话</w:t>
            </w:r>
          </w:p>
        </w:tc>
        <w:tc>
          <w:tcPr>
            <w:tcW w:w="2026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官方网站</w:t>
            </w:r>
          </w:p>
        </w:tc>
      </w:tr>
      <w:tr w:rsidR="00A26361">
        <w:trPr>
          <w:trHeight w:val="270"/>
        </w:trPr>
        <w:tc>
          <w:tcPr>
            <w:tcW w:w="21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麦高证券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400-618-3355</w:t>
            </w:r>
          </w:p>
        </w:tc>
        <w:tc>
          <w:tcPr>
            <w:tcW w:w="3453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A26361" w:rsidRDefault="00EC4D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hyperlink r:id="rId7" w:history="1">
              <w:r w:rsidR="00737443">
                <w:rPr>
                  <w:rFonts w:ascii="仿宋" w:eastAsia="仿宋" w:hAnsi="仿宋" w:cs="仿宋" w:hint="eastAsia"/>
                  <w:color w:val="000000"/>
                  <w:kern w:val="0"/>
                  <w:sz w:val="22"/>
                  <w:lang/>
                </w:rPr>
                <w:t>www.mgzq.com</w:t>
              </w:r>
            </w:hyperlink>
          </w:p>
        </w:tc>
      </w:tr>
      <w:tr w:rsidR="00A26361">
        <w:trPr>
          <w:trHeight w:val="270"/>
        </w:trPr>
        <w:tc>
          <w:tcPr>
            <w:tcW w:w="21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中泰证券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95538</w:t>
            </w:r>
          </w:p>
        </w:tc>
        <w:tc>
          <w:tcPr>
            <w:tcW w:w="3453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www.zts.com.cn</w:t>
            </w:r>
          </w:p>
        </w:tc>
      </w:tr>
      <w:tr w:rsidR="00A26361">
        <w:trPr>
          <w:trHeight w:val="270"/>
        </w:trPr>
        <w:tc>
          <w:tcPr>
            <w:tcW w:w="21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湘财证券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95351</w:t>
            </w:r>
          </w:p>
        </w:tc>
        <w:tc>
          <w:tcPr>
            <w:tcW w:w="3453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A26361" w:rsidRDefault="00737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www.xcsc.com</w:t>
            </w:r>
          </w:p>
        </w:tc>
      </w:tr>
    </w:tbl>
    <w:p w:rsidR="00A26361" w:rsidRDefault="00737443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本公司旗下各基金的销售机构信息也可登录本公司官方网站（www.swsmu.com）进行查询，投资者若希望了解各基金详情，请参阅本公司发布的相关公告或可拨打本公司客服电话（400-880-8588或021-962299）进行咨询。</w:t>
      </w:r>
    </w:p>
    <w:p w:rsidR="00A26361" w:rsidRDefault="00737443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欢迎广大投资者垂询、惠顾办理本公司旗下各基金的开户、认购、申购、定投、转换等相关业务。</w:t>
      </w:r>
    </w:p>
    <w:p w:rsidR="00A26361" w:rsidRDefault="00737443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特此公告。</w:t>
      </w:r>
    </w:p>
    <w:p w:rsidR="00A26361" w:rsidRDefault="00737443">
      <w:pPr>
        <w:spacing w:line="500" w:lineRule="exact"/>
        <w:ind w:firstLineChars="200" w:firstLine="480"/>
        <w:jc w:val="righ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申万菱信基金管理有限公司</w:t>
      </w:r>
    </w:p>
    <w:p w:rsidR="00A26361" w:rsidRDefault="00737443">
      <w:pPr>
        <w:spacing w:line="500" w:lineRule="exact"/>
        <w:ind w:firstLineChars="200" w:firstLine="480"/>
        <w:jc w:val="righ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2023年1</w:t>
      </w:r>
      <w:r>
        <w:rPr>
          <w:rFonts w:ascii="仿宋" w:eastAsia="仿宋" w:hAnsi="仿宋" w:cs="仿宋"/>
          <w:sz w:val="24"/>
          <w:szCs w:val="24"/>
        </w:rPr>
        <w:t>2</w:t>
      </w:r>
      <w:r>
        <w:rPr>
          <w:rFonts w:ascii="仿宋" w:eastAsia="仿宋" w:hAnsi="仿宋" w:cs="仿宋" w:hint="eastAsia"/>
          <w:sz w:val="24"/>
          <w:szCs w:val="24"/>
        </w:rPr>
        <w:t>月29日</w:t>
      </w:r>
    </w:p>
    <w:p w:rsidR="00A26361" w:rsidRDefault="00A26361">
      <w:pPr>
        <w:spacing w:line="500" w:lineRule="exact"/>
        <w:jc w:val="right"/>
        <w:rPr>
          <w:rFonts w:asciiTheme="minorEastAsia" w:hAnsiTheme="minorEastAsia"/>
          <w:sz w:val="24"/>
          <w:szCs w:val="24"/>
        </w:rPr>
      </w:pPr>
    </w:p>
    <w:sectPr w:rsidR="00A26361" w:rsidSect="00EC4DA6">
      <w:pgSz w:w="11906" w:h="16838"/>
      <w:pgMar w:top="82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443" w:rsidRDefault="00737443" w:rsidP="00737443">
      <w:r>
        <w:separator/>
      </w:r>
    </w:p>
  </w:endnote>
  <w:endnote w:type="continuationSeparator" w:id="0">
    <w:p w:rsidR="00737443" w:rsidRDefault="00737443" w:rsidP="00737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443" w:rsidRDefault="00737443" w:rsidP="00737443">
      <w:r>
        <w:separator/>
      </w:r>
    </w:p>
  </w:footnote>
  <w:footnote w:type="continuationSeparator" w:id="0">
    <w:p w:rsidR="00737443" w:rsidRDefault="00737443" w:rsidP="00737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7460"/>
    <w:multiLevelType w:val="singleLevel"/>
    <w:tmpl w:val="26A8746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58A78F3"/>
    <w:multiLevelType w:val="multilevel"/>
    <w:tmpl w:val="758A78F3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E2ZjQ3MzZhYWIzMWM4OWY2ODMyNTljMGY1ZTFiZWQifQ=="/>
  </w:docVars>
  <w:rsids>
    <w:rsidRoot w:val="00172A27"/>
    <w:rsid w:val="00023BF5"/>
    <w:rsid w:val="0005384C"/>
    <w:rsid w:val="00062E5E"/>
    <w:rsid w:val="0006394B"/>
    <w:rsid w:val="00070C2C"/>
    <w:rsid w:val="0008747A"/>
    <w:rsid w:val="000A49AD"/>
    <w:rsid w:val="000B530F"/>
    <w:rsid w:val="000B62C9"/>
    <w:rsid w:val="000D53AC"/>
    <w:rsid w:val="00172A27"/>
    <w:rsid w:val="00253AF9"/>
    <w:rsid w:val="00270DD4"/>
    <w:rsid w:val="00304C74"/>
    <w:rsid w:val="003477BB"/>
    <w:rsid w:val="00363A10"/>
    <w:rsid w:val="003748D9"/>
    <w:rsid w:val="003D5218"/>
    <w:rsid w:val="003D641A"/>
    <w:rsid w:val="00462D99"/>
    <w:rsid w:val="00467228"/>
    <w:rsid w:val="004C2C5D"/>
    <w:rsid w:val="004C5270"/>
    <w:rsid w:val="004F51DB"/>
    <w:rsid w:val="00502B4E"/>
    <w:rsid w:val="005119FF"/>
    <w:rsid w:val="005A334B"/>
    <w:rsid w:val="005D4BEE"/>
    <w:rsid w:val="006132E0"/>
    <w:rsid w:val="006166C0"/>
    <w:rsid w:val="00622BA6"/>
    <w:rsid w:val="00657E09"/>
    <w:rsid w:val="00662087"/>
    <w:rsid w:val="00675900"/>
    <w:rsid w:val="006A1924"/>
    <w:rsid w:val="006C1367"/>
    <w:rsid w:val="0071668B"/>
    <w:rsid w:val="00737443"/>
    <w:rsid w:val="00777F23"/>
    <w:rsid w:val="007A0644"/>
    <w:rsid w:val="007B04A5"/>
    <w:rsid w:val="007E2D28"/>
    <w:rsid w:val="0083088D"/>
    <w:rsid w:val="00890148"/>
    <w:rsid w:val="00890EB2"/>
    <w:rsid w:val="008B05C7"/>
    <w:rsid w:val="008B072A"/>
    <w:rsid w:val="008C7D9E"/>
    <w:rsid w:val="00993121"/>
    <w:rsid w:val="00A26361"/>
    <w:rsid w:val="00A305EB"/>
    <w:rsid w:val="00A56168"/>
    <w:rsid w:val="00AB6267"/>
    <w:rsid w:val="00AC2336"/>
    <w:rsid w:val="00AF6356"/>
    <w:rsid w:val="00B153C9"/>
    <w:rsid w:val="00B25E5D"/>
    <w:rsid w:val="00B44206"/>
    <w:rsid w:val="00B562EB"/>
    <w:rsid w:val="00B827CA"/>
    <w:rsid w:val="00BB0EB8"/>
    <w:rsid w:val="00BE05FC"/>
    <w:rsid w:val="00C301EB"/>
    <w:rsid w:val="00C84140"/>
    <w:rsid w:val="00C97E58"/>
    <w:rsid w:val="00CA73A8"/>
    <w:rsid w:val="00D07CF5"/>
    <w:rsid w:val="00D51E54"/>
    <w:rsid w:val="00D565F2"/>
    <w:rsid w:val="00D81F61"/>
    <w:rsid w:val="00DB2266"/>
    <w:rsid w:val="00DB550B"/>
    <w:rsid w:val="00DF2B34"/>
    <w:rsid w:val="00E25011"/>
    <w:rsid w:val="00E460F9"/>
    <w:rsid w:val="00E55787"/>
    <w:rsid w:val="00E72DB5"/>
    <w:rsid w:val="00EA238D"/>
    <w:rsid w:val="00EC4B43"/>
    <w:rsid w:val="00EC4DA6"/>
    <w:rsid w:val="00ED6FF1"/>
    <w:rsid w:val="00EE5D6B"/>
    <w:rsid w:val="00EF046C"/>
    <w:rsid w:val="00F0654A"/>
    <w:rsid w:val="00F06A67"/>
    <w:rsid w:val="00F62DC9"/>
    <w:rsid w:val="00F77FB0"/>
    <w:rsid w:val="00FA0BD7"/>
    <w:rsid w:val="00FB2DE2"/>
    <w:rsid w:val="0FA96BC8"/>
    <w:rsid w:val="121B6930"/>
    <w:rsid w:val="2CC359C5"/>
    <w:rsid w:val="373A24CE"/>
    <w:rsid w:val="3D1A021A"/>
    <w:rsid w:val="3ED1739E"/>
    <w:rsid w:val="4AD10E41"/>
    <w:rsid w:val="4FD63A9A"/>
    <w:rsid w:val="67A4164A"/>
    <w:rsid w:val="72C05B47"/>
    <w:rsid w:val="74C1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C4D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uiPriority w:val="99"/>
    <w:semiHidden/>
    <w:unhideWhenUsed/>
    <w:qFormat/>
    <w:rsid w:val="00EC4DA6"/>
    <w:pPr>
      <w:jc w:val="left"/>
    </w:pPr>
  </w:style>
  <w:style w:type="paragraph" w:styleId="a4">
    <w:name w:val="Balloon Text"/>
    <w:basedOn w:val="a"/>
    <w:link w:val="Char0"/>
    <w:autoRedefine/>
    <w:uiPriority w:val="99"/>
    <w:semiHidden/>
    <w:unhideWhenUsed/>
    <w:qFormat/>
    <w:rsid w:val="00EC4DA6"/>
    <w:rPr>
      <w:sz w:val="18"/>
      <w:szCs w:val="18"/>
    </w:rPr>
  </w:style>
  <w:style w:type="paragraph" w:styleId="a5">
    <w:name w:val="footer"/>
    <w:basedOn w:val="a"/>
    <w:link w:val="Char1"/>
    <w:autoRedefine/>
    <w:uiPriority w:val="99"/>
    <w:unhideWhenUsed/>
    <w:qFormat/>
    <w:rsid w:val="00EC4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autoRedefine/>
    <w:uiPriority w:val="99"/>
    <w:unhideWhenUsed/>
    <w:qFormat/>
    <w:rsid w:val="00EC4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autoRedefine/>
    <w:uiPriority w:val="99"/>
    <w:semiHidden/>
    <w:unhideWhenUsed/>
    <w:qFormat/>
    <w:rsid w:val="00EC4DA6"/>
    <w:rPr>
      <w:b/>
      <w:bCs/>
    </w:rPr>
  </w:style>
  <w:style w:type="table" w:styleId="a8">
    <w:name w:val="Table Grid"/>
    <w:basedOn w:val="a1"/>
    <w:uiPriority w:val="59"/>
    <w:qFormat/>
    <w:rsid w:val="00EC4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autoRedefine/>
    <w:unhideWhenUsed/>
    <w:qFormat/>
    <w:rsid w:val="00EC4DA6"/>
    <w:rPr>
      <w:color w:val="0000FF" w:themeColor="hyperlink"/>
      <w:u w:val="single"/>
    </w:rPr>
  </w:style>
  <w:style w:type="character" w:styleId="aa">
    <w:name w:val="annotation reference"/>
    <w:basedOn w:val="a0"/>
    <w:autoRedefine/>
    <w:uiPriority w:val="99"/>
    <w:semiHidden/>
    <w:unhideWhenUsed/>
    <w:qFormat/>
    <w:rsid w:val="00EC4DA6"/>
    <w:rPr>
      <w:sz w:val="21"/>
      <w:szCs w:val="21"/>
    </w:rPr>
  </w:style>
  <w:style w:type="character" w:customStyle="1" w:styleId="Char2">
    <w:name w:val="页眉 Char"/>
    <w:basedOn w:val="a0"/>
    <w:link w:val="a6"/>
    <w:autoRedefine/>
    <w:uiPriority w:val="99"/>
    <w:qFormat/>
    <w:rsid w:val="00EC4DA6"/>
    <w:rPr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qFormat/>
    <w:rsid w:val="00EC4DA6"/>
    <w:rPr>
      <w:sz w:val="18"/>
      <w:szCs w:val="18"/>
    </w:rPr>
  </w:style>
  <w:style w:type="paragraph" w:styleId="ab">
    <w:name w:val="List Paragraph"/>
    <w:basedOn w:val="a"/>
    <w:autoRedefine/>
    <w:uiPriority w:val="34"/>
    <w:qFormat/>
    <w:rsid w:val="00EC4DA6"/>
    <w:pPr>
      <w:ind w:firstLineChars="200" w:firstLine="420"/>
    </w:pPr>
  </w:style>
  <w:style w:type="character" w:customStyle="1" w:styleId="Char">
    <w:name w:val="批注文字 Char"/>
    <w:basedOn w:val="a0"/>
    <w:link w:val="a3"/>
    <w:autoRedefine/>
    <w:uiPriority w:val="99"/>
    <w:semiHidden/>
    <w:qFormat/>
    <w:rsid w:val="00EC4DA6"/>
  </w:style>
  <w:style w:type="character" w:customStyle="1" w:styleId="Char3">
    <w:name w:val="批注主题 Char"/>
    <w:basedOn w:val="Char"/>
    <w:link w:val="a7"/>
    <w:autoRedefine/>
    <w:uiPriority w:val="99"/>
    <w:semiHidden/>
    <w:qFormat/>
    <w:rsid w:val="00EC4DA6"/>
    <w:rPr>
      <w:b/>
      <w:bCs/>
    </w:rPr>
  </w:style>
  <w:style w:type="character" w:customStyle="1" w:styleId="Char0">
    <w:name w:val="批注框文本 Char"/>
    <w:basedOn w:val="a0"/>
    <w:link w:val="a4"/>
    <w:autoRedefine/>
    <w:uiPriority w:val="99"/>
    <w:semiHidden/>
    <w:qFormat/>
    <w:rsid w:val="00EC4DA6"/>
    <w:rPr>
      <w:sz w:val="18"/>
      <w:szCs w:val="18"/>
    </w:rPr>
  </w:style>
  <w:style w:type="paragraph" w:customStyle="1" w:styleId="1">
    <w:name w:val="修订1"/>
    <w:autoRedefine/>
    <w:hidden/>
    <w:uiPriority w:val="99"/>
    <w:semiHidden/>
    <w:qFormat/>
    <w:rsid w:val="00EC4DA6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Default">
    <w:name w:val="Default"/>
    <w:autoRedefine/>
    <w:uiPriority w:val="99"/>
    <w:unhideWhenUsed/>
    <w:qFormat/>
    <w:rsid w:val="00EC4DA6"/>
    <w:pPr>
      <w:widowControl w:val="0"/>
      <w:autoSpaceDE w:val="0"/>
      <w:autoSpaceDN w:val="0"/>
      <w:adjustRightInd w:val="0"/>
    </w:pPr>
    <w:rPr>
      <w:rFonts w:ascii="宋体" w:hAnsi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z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1135</Characters>
  <Application>Microsoft Office Word</Application>
  <DocSecurity>4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张淑静</dc:creator>
  <cp:lastModifiedBy>ZHONGM</cp:lastModifiedBy>
  <cp:revision>2</cp:revision>
  <dcterms:created xsi:type="dcterms:W3CDTF">2023-12-28T16:04:00Z</dcterms:created>
  <dcterms:modified xsi:type="dcterms:W3CDTF">2023-12-28T16:04:00Z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0849461CCAA6456DB20E6731DBBF76CA_13</vt:lpwstr>
  </property>
</Properties>
</file>