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4C" w:rsidRDefault="0077144C" w:rsidP="0077144C">
      <w:pPr>
        <w:spacing w:line="360" w:lineRule="auto"/>
        <w:jc w:val="center"/>
        <w:rPr>
          <w:rFonts w:asciiTheme="minorEastAsia" w:hAnsiTheme="minorEastAsia"/>
          <w:b/>
          <w:sz w:val="24"/>
          <w:szCs w:val="24"/>
        </w:rPr>
      </w:pPr>
      <w:r w:rsidRPr="0077144C">
        <w:rPr>
          <w:rFonts w:asciiTheme="minorEastAsia" w:hAnsiTheme="minorEastAsia" w:hint="eastAsia"/>
          <w:b/>
          <w:sz w:val="24"/>
          <w:szCs w:val="24"/>
        </w:rPr>
        <w:t>关于汇添富民丰回报混合型证券投资基金可能触发基金合同终止情形</w:t>
      </w:r>
    </w:p>
    <w:p w:rsidR="0077144C" w:rsidRPr="0077144C" w:rsidRDefault="0077144C" w:rsidP="0077144C">
      <w:pPr>
        <w:spacing w:line="360" w:lineRule="auto"/>
        <w:jc w:val="center"/>
        <w:rPr>
          <w:rFonts w:asciiTheme="minorEastAsia" w:hAnsiTheme="minorEastAsia"/>
          <w:b/>
          <w:sz w:val="24"/>
          <w:szCs w:val="24"/>
        </w:rPr>
      </w:pPr>
      <w:r w:rsidRPr="0077144C">
        <w:rPr>
          <w:rFonts w:asciiTheme="minorEastAsia" w:hAnsiTheme="minorEastAsia" w:hint="eastAsia"/>
          <w:b/>
          <w:sz w:val="24"/>
          <w:szCs w:val="24"/>
        </w:rPr>
        <w:t>的提示性公告</w:t>
      </w:r>
    </w:p>
    <w:p w:rsidR="0077144C" w:rsidRPr="0077144C" w:rsidRDefault="0077144C" w:rsidP="0077144C">
      <w:pPr>
        <w:spacing w:line="360" w:lineRule="auto"/>
        <w:rPr>
          <w:rFonts w:asciiTheme="minorEastAsia" w:hAnsiTheme="minorEastAsia"/>
          <w:sz w:val="24"/>
          <w:szCs w:val="24"/>
        </w:rPr>
      </w:pPr>
    </w:p>
    <w:p w:rsidR="0077144C" w:rsidRPr="0077144C" w:rsidRDefault="0077144C" w:rsidP="008E4051">
      <w:pPr>
        <w:spacing w:line="360" w:lineRule="auto"/>
        <w:ind w:firstLineChars="200" w:firstLine="480"/>
        <w:rPr>
          <w:rFonts w:asciiTheme="minorEastAsia" w:hAnsiTheme="minorEastAsia"/>
          <w:sz w:val="24"/>
          <w:szCs w:val="24"/>
        </w:rPr>
      </w:pPr>
      <w:r w:rsidRPr="0077144C">
        <w:rPr>
          <w:rFonts w:asciiTheme="minorEastAsia" w:hAnsiTheme="minorEastAsia" w:hint="eastAsia"/>
          <w:sz w:val="24"/>
          <w:szCs w:val="24"/>
        </w:rPr>
        <w:t>根据《中华人民共和国证券投资基金法》、《公开募集证券投资基金运作管理办法》、《汇添富民丰回报混合型证券投资基金基金合同》（以下简称“《基金合同》”</w:t>
      </w:r>
      <w:r w:rsidR="00870B1A" w:rsidRPr="00870B1A">
        <w:rPr>
          <w:rFonts w:asciiTheme="minorEastAsia" w:hAnsiTheme="minorEastAsia" w:hint="eastAsia"/>
          <w:sz w:val="24"/>
          <w:szCs w:val="24"/>
        </w:rPr>
        <w:t xml:space="preserve"> </w:t>
      </w:r>
      <w:r w:rsidR="00870B1A">
        <w:rPr>
          <w:rFonts w:asciiTheme="minorEastAsia" w:hAnsiTheme="minorEastAsia" w:hint="eastAsia"/>
          <w:sz w:val="24"/>
          <w:szCs w:val="24"/>
        </w:rPr>
        <w:t>或“基金合同”</w:t>
      </w:r>
      <w:r w:rsidRPr="0077144C">
        <w:rPr>
          <w:rFonts w:asciiTheme="minorEastAsia" w:hAnsiTheme="minorEastAsia" w:hint="eastAsia"/>
          <w:sz w:val="24"/>
          <w:szCs w:val="24"/>
        </w:rPr>
        <w:t>）的有关规定，汇添富民丰回报混合型证券投资基金（A类份额基金代码：</w:t>
      </w:r>
      <w:r w:rsidRPr="0077144C">
        <w:rPr>
          <w:rFonts w:asciiTheme="minorEastAsia" w:hAnsiTheme="minorEastAsia"/>
          <w:sz w:val="24"/>
          <w:szCs w:val="24"/>
        </w:rPr>
        <w:t>004270</w:t>
      </w:r>
      <w:r w:rsidRPr="0077144C">
        <w:rPr>
          <w:rFonts w:asciiTheme="minorEastAsia" w:hAnsiTheme="minorEastAsia" w:hint="eastAsia"/>
          <w:sz w:val="24"/>
          <w:szCs w:val="24"/>
        </w:rPr>
        <w:t>，C类份额基金代码：</w:t>
      </w:r>
      <w:r w:rsidRPr="0077144C">
        <w:rPr>
          <w:rFonts w:asciiTheme="minorEastAsia" w:hAnsiTheme="minorEastAsia"/>
          <w:sz w:val="24"/>
          <w:szCs w:val="24"/>
        </w:rPr>
        <w:t>004271</w:t>
      </w:r>
      <w:r w:rsidRPr="0077144C">
        <w:rPr>
          <w:rFonts w:asciiTheme="minorEastAsia" w:hAnsiTheme="minorEastAsia" w:hint="eastAsia"/>
          <w:sz w:val="24"/>
          <w:szCs w:val="24"/>
        </w:rPr>
        <w:t>，以下简称“本基金”）可能触发基金合同终止情形，现将相关事宜公告如下：</w:t>
      </w:r>
    </w:p>
    <w:p w:rsidR="0077144C" w:rsidRPr="0077144C" w:rsidRDefault="0077144C" w:rsidP="0077144C">
      <w:pPr>
        <w:spacing w:line="360" w:lineRule="auto"/>
        <w:ind w:firstLineChars="200" w:firstLine="480"/>
        <w:rPr>
          <w:rFonts w:asciiTheme="minorEastAsia" w:hAnsiTheme="minorEastAsia"/>
          <w:sz w:val="24"/>
          <w:szCs w:val="24"/>
        </w:rPr>
      </w:pPr>
      <w:r w:rsidRPr="0077144C">
        <w:rPr>
          <w:rFonts w:asciiTheme="minorEastAsia" w:hAnsiTheme="minorEastAsia" w:hint="eastAsia"/>
          <w:sz w:val="24"/>
          <w:szCs w:val="24"/>
        </w:rPr>
        <w:t>一、可能触发基金合同终止的情形说明</w:t>
      </w:r>
    </w:p>
    <w:p w:rsidR="0077144C" w:rsidRPr="002229C7" w:rsidRDefault="0077144C" w:rsidP="0077144C">
      <w:pPr>
        <w:spacing w:line="360" w:lineRule="auto"/>
        <w:ind w:firstLineChars="200" w:firstLine="480"/>
        <w:rPr>
          <w:rFonts w:asciiTheme="minorEastAsia" w:hAnsiTheme="minorEastAsia"/>
          <w:sz w:val="24"/>
          <w:szCs w:val="24"/>
        </w:rPr>
      </w:pPr>
      <w:r w:rsidRPr="0077144C">
        <w:rPr>
          <w:rFonts w:asciiTheme="minorEastAsia" w:hAnsiTheme="minorEastAsia" w:hint="eastAsia"/>
          <w:sz w:val="24"/>
          <w:szCs w:val="24"/>
        </w:rPr>
        <w:t>根据《基金合同》的约定，《基金合同》生效后，连续20个工作日出现基金份额持有人数量不满200人或者基金资产净值低于5000万元情形的，基金管理人应当在定期报告中予以披露；连续60个工作日出现前述情形的，基金管理人将提前终止基金合同，不需召开基金份额持有人大会。</w:t>
      </w:r>
      <w:r w:rsidRPr="0077144C">
        <w:rPr>
          <w:rFonts w:asciiTheme="minorEastAsia" w:hAnsiTheme="minorEastAsia"/>
          <w:sz w:val="24"/>
          <w:szCs w:val="24"/>
        </w:rPr>
        <w:cr/>
      </w:r>
      <w:r>
        <w:rPr>
          <w:rFonts w:asciiTheme="minorEastAsia" w:hAnsiTheme="minorEastAsia"/>
          <w:sz w:val="24"/>
          <w:szCs w:val="24"/>
        </w:rPr>
        <w:t xml:space="preserve">    </w:t>
      </w:r>
      <w:r w:rsidRPr="002229C7">
        <w:rPr>
          <w:rFonts w:asciiTheme="minorEastAsia" w:hAnsiTheme="minorEastAsia" w:hint="eastAsia"/>
          <w:sz w:val="24"/>
          <w:szCs w:val="24"/>
        </w:rPr>
        <w:t>截至2023年</w:t>
      </w:r>
      <w:r w:rsidRPr="002229C7">
        <w:rPr>
          <w:rFonts w:asciiTheme="minorEastAsia" w:hAnsiTheme="minorEastAsia"/>
          <w:sz w:val="24"/>
          <w:szCs w:val="24"/>
        </w:rPr>
        <w:t>12</w:t>
      </w:r>
      <w:r w:rsidRPr="002229C7">
        <w:rPr>
          <w:rFonts w:asciiTheme="minorEastAsia" w:hAnsiTheme="minorEastAsia" w:hint="eastAsia"/>
          <w:sz w:val="24"/>
          <w:szCs w:val="24"/>
        </w:rPr>
        <w:t>月</w:t>
      </w:r>
      <w:r w:rsidR="002229C7" w:rsidRPr="002229C7">
        <w:rPr>
          <w:rFonts w:asciiTheme="minorEastAsia" w:hAnsiTheme="minorEastAsia"/>
          <w:sz w:val="24"/>
          <w:szCs w:val="24"/>
        </w:rPr>
        <w:t>2</w:t>
      </w:r>
      <w:r w:rsidR="006E5530">
        <w:rPr>
          <w:rFonts w:asciiTheme="minorEastAsia" w:hAnsiTheme="minorEastAsia"/>
          <w:sz w:val="24"/>
          <w:szCs w:val="24"/>
        </w:rPr>
        <w:t>8</w:t>
      </w:r>
      <w:r w:rsidRPr="002229C7">
        <w:rPr>
          <w:rFonts w:asciiTheme="minorEastAsia" w:hAnsiTheme="minorEastAsia" w:hint="eastAsia"/>
          <w:sz w:val="24"/>
          <w:szCs w:val="24"/>
        </w:rPr>
        <w:t>日</w:t>
      </w:r>
      <w:r w:rsidR="00870B1A" w:rsidRPr="002229C7">
        <w:rPr>
          <w:rFonts w:asciiTheme="minorEastAsia" w:hAnsiTheme="minorEastAsia" w:hint="eastAsia"/>
          <w:sz w:val="24"/>
          <w:szCs w:val="24"/>
        </w:rPr>
        <w:t>日终</w:t>
      </w:r>
      <w:r w:rsidRPr="002229C7">
        <w:rPr>
          <w:rFonts w:asciiTheme="minorEastAsia" w:hAnsiTheme="minorEastAsia" w:hint="eastAsia"/>
          <w:sz w:val="24"/>
          <w:szCs w:val="24"/>
        </w:rPr>
        <w:t>，本基金已连续</w:t>
      </w:r>
      <w:r w:rsidR="002229C7" w:rsidRPr="002229C7">
        <w:rPr>
          <w:rFonts w:asciiTheme="minorEastAsia" w:hAnsiTheme="minorEastAsia"/>
          <w:sz w:val="24"/>
          <w:szCs w:val="24"/>
        </w:rPr>
        <w:t>5</w:t>
      </w:r>
      <w:r w:rsidR="006E5530">
        <w:rPr>
          <w:rFonts w:asciiTheme="minorEastAsia" w:hAnsiTheme="minorEastAsia"/>
          <w:sz w:val="24"/>
          <w:szCs w:val="24"/>
        </w:rPr>
        <w:t>8</w:t>
      </w:r>
      <w:r w:rsidRPr="002229C7">
        <w:rPr>
          <w:rFonts w:asciiTheme="minorEastAsia" w:hAnsiTheme="minorEastAsia" w:hint="eastAsia"/>
          <w:sz w:val="24"/>
          <w:szCs w:val="24"/>
        </w:rPr>
        <w:t>个工作日基金资产净值低于5000万元。若截至</w:t>
      </w:r>
      <w:r w:rsidR="0039710B" w:rsidRPr="002229C7">
        <w:rPr>
          <w:rFonts w:asciiTheme="minorEastAsia" w:hAnsiTheme="minorEastAsia" w:hint="eastAsia"/>
          <w:sz w:val="24"/>
          <w:szCs w:val="24"/>
        </w:rPr>
        <w:t>202</w:t>
      </w:r>
      <w:r w:rsidR="0039710B" w:rsidRPr="002229C7">
        <w:rPr>
          <w:rFonts w:asciiTheme="minorEastAsia" w:hAnsiTheme="minorEastAsia"/>
          <w:sz w:val="24"/>
          <w:szCs w:val="24"/>
        </w:rPr>
        <w:t>4</w:t>
      </w:r>
      <w:r w:rsidRPr="002229C7">
        <w:rPr>
          <w:rFonts w:asciiTheme="minorEastAsia" w:hAnsiTheme="minorEastAsia" w:hint="eastAsia"/>
          <w:sz w:val="24"/>
          <w:szCs w:val="24"/>
        </w:rPr>
        <w:t>年</w:t>
      </w:r>
      <w:r w:rsidRPr="002229C7">
        <w:rPr>
          <w:rFonts w:asciiTheme="minorEastAsia" w:hAnsiTheme="minorEastAsia"/>
          <w:sz w:val="24"/>
          <w:szCs w:val="24"/>
        </w:rPr>
        <w:t>1</w:t>
      </w:r>
      <w:r w:rsidRPr="002229C7">
        <w:rPr>
          <w:rFonts w:asciiTheme="minorEastAsia" w:hAnsiTheme="minorEastAsia" w:hint="eastAsia"/>
          <w:sz w:val="24"/>
          <w:szCs w:val="24"/>
        </w:rPr>
        <w:t>月</w:t>
      </w:r>
      <w:r w:rsidRPr="002229C7">
        <w:rPr>
          <w:rFonts w:asciiTheme="minorEastAsia" w:hAnsiTheme="minorEastAsia"/>
          <w:sz w:val="24"/>
          <w:szCs w:val="24"/>
        </w:rPr>
        <w:t>2</w:t>
      </w:r>
      <w:r w:rsidRPr="002229C7">
        <w:rPr>
          <w:rFonts w:asciiTheme="minorEastAsia" w:hAnsiTheme="minorEastAsia" w:hint="eastAsia"/>
          <w:sz w:val="24"/>
          <w:szCs w:val="24"/>
        </w:rPr>
        <w:t>日日终，本基金的基金资产净值连续60个工作日低于5000万元，则触发上述《基金合同》规定的终止情形，基金管理人将根据相关法律法规、《基金合同》等规定对本基金进行清算</w:t>
      </w:r>
      <w:r w:rsidR="00870B1A" w:rsidRPr="002229C7">
        <w:rPr>
          <w:rFonts w:asciiTheme="minorEastAsia" w:hAnsiTheme="minorEastAsia" w:hint="eastAsia"/>
          <w:sz w:val="24"/>
          <w:szCs w:val="24"/>
        </w:rPr>
        <w:t>并终止《基金合同》</w:t>
      </w:r>
      <w:r w:rsidRPr="002229C7">
        <w:rPr>
          <w:rFonts w:asciiTheme="minorEastAsia" w:hAnsiTheme="minorEastAsia" w:hint="eastAsia"/>
          <w:sz w:val="24"/>
          <w:szCs w:val="24"/>
        </w:rPr>
        <w:t>。特请投资者注意相关风险。</w:t>
      </w:r>
      <w:r w:rsidRPr="002229C7">
        <w:rPr>
          <w:rFonts w:asciiTheme="minorEastAsia" w:hAnsiTheme="minorEastAsia"/>
          <w:sz w:val="24"/>
          <w:szCs w:val="24"/>
        </w:rPr>
        <w:cr/>
      </w:r>
      <w:r w:rsidR="008E4051" w:rsidRPr="002229C7">
        <w:rPr>
          <w:rFonts w:asciiTheme="minorEastAsia" w:hAnsiTheme="minorEastAsia"/>
          <w:sz w:val="24"/>
          <w:szCs w:val="24"/>
        </w:rPr>
        <w:t xml:space="preserve">    </w:t>
      </w:r>
      <w:r w:rsidRPr="002229C7">
        <w:rPr>
          <w:rFonts w:asciiTheme="minorEastAsia" w:hAnsiTheme="minorEastAsia" w:hint="eastAsia"/>
          <w:sz w:val="24"/>
          <w:szCs w:val="24"/>
        </w:rPr>
        <w:t>二、其他需要提示的事项</w:t>
      </w:r>
    </w:p>
    <w:p w:rsidR="0077144C" w:rsidRPr="002229C7" w:rsidRDefault="0077144C" w:rsidP="0077144C">
      <w:pPr>
        <w:spacing w:line="360" w:lineRule="auto"/>
        <w:ind w:firstLineChars="200" w:firstLine="480"/>
        <w:rPr>
          <w:rFonts w:asciiTheme="minorEastAsia" w:hAnsiTheme="minorEastAsia"/>
          <w:sz w:val="24"/>
          <w:szCs w:val="24"/>
        </w:rPr>
      </w:pPr>
      <w:r w:rsidRPr="002229C7">
        <w:rPr>
          <w:rFonts w:asciiTheme="minorEastAsia" w:hAnsiTheme="minorEastAsia"/>
          <w:sz w:val="24"/>
          <w:szCs w:val="24"/>
        </w:rPr>
        <w:t>1.若出现《基金合同》终止的情形，基金管理人将根据相关法律法规的规定和《基金合同》的约定成立基金财产清算小组，履行基金财产清算程序。清算期间，投资者无法办理本基金的申购、赎回、转换</w:t>
      </w:r>
      <w:r w:rsidRPr="002229C7">
        <w:rPr>
          <w:rFonts w:asciiTheme="minorEastAsia" w:hAnsiTheme="minorEastAsia" w:hint="eastAsia"/>
          <w:sz w:val="24"/>
          <w:szCs w:val="24"/>
        </w:rPr>
        <w:t>和</w:t>
      </w:r>
      <w:r w:rsidRPr="002229C7">
        <w:rPr>
          <w:rFonts w:asciiTheme="minorEastAsia" w:hAnsiTheme="minorEastAsia"/>
          <w:sz w:val="24"/>
          <w:szCs w:val="24"/>
        </w:rPr>
        <w:t>定期定额</w:t>
      </w:r>
      <w:r w:rsidR="00870B1A" w:rsidRPr="002229C7">
        <w:rPr>
          <w:rFonts w:asciiTheme="minorEastAsia" w:hAnsiTheme="minorEastAsia"/>
          <w:sz w:val="24"/>
          <w:szCs w:val="24"/>
        </w:rPr>
        <w:t>投资</w:t>
      </w:r>
      <w:r w:rsidRPr="002229C7">
        <w:rPr>
          <w:rFonts w:asciiTheme="minorEastAsia" w:hAnsiTheme="minorEastAsia"/>
          <w:sz w:val="24"/>
          <w:szCs w:val="24"/>
        </w:rPr>
        <w:t xml:space="preserve">等业务。敬请投资者注意投资风险，妥善做好投资安排。 </w:t>
      </w:r>
    </w:p>
    <w:p w:rsidR="0077144C" w:rsidRPr="002229C7" w:rsidRDefault="0077144C" w:rsidP="008E4051">
      <w:pPr>
        <w:spacing w:line="360" w:lineRule="auto"/>
        <w:ind w:firstLineChars="200" w:firstLine="480"/>
        <w:rPr>
          <w:rFonts w:asciiTheme="minorEastAsia" w:hAnsiTheme="minorEastAsia"/>
          <w:sz w:val="24"/>
          <w:szCs w:val="24"/>
        </w:rPr>
      </w:pPr>
      <w:r w:rsidRPr="002229C7">
        <w:rPr>
          <w:rFonts w:asciiTheme="minorEastAsia" w:hAnsiTheme="minorEastAsia"/>
          <w:sz w:val="24"/>
          <w:szCs w:val="24"/>
        </w:rPr>
        <w:t>2.投资者欲了解本基金的详细情况，请认真阅读《基金合同》</w:t>
      </w:r>
      <w:r w:rsidR="00870B1A" w:rsidRPr="002229C7">
        <w:rPr>
          <w:rFonts w:asciiTheme="minorEastAsia" w:hAnsiTheme="minorEastAsia" w:hint="eastAsia"/>
          <w:sz w:val="24"/>
          <w:szCs w:val="24"/>
        </w:rPr>
        <w:t>、招募说明书及基金产品资料概要等信息披露文件</w:t>
      </w:r>
      <w:r w:rsidRPr="002229C7">
        <w:rPr>
          <w:rFonts w:asciiTheme="minorEastAsia" w:hAnsiTheme="minorEastAsia"/>
          <w:sz w:val="24"/>
          <w:szCs w:val="24"/>
        </w:rPr>
        <w:t>。</w:t>
      </w:r>
      <w:r w:rsidRPr="002229C7">
        <w:rPr>
          <w:rFonts w:asciiTheme="minorEastAsia" w:hAnsiTheme="minorEastAsia" w:hint="eastAsia"/>
          <w:sz w:val="24"/>
          <w:szCs w:val="24"/>
        </w:rPr>
        <w:t>投资者可以通过拨打本公司客服热线（400-888-9918）或登录本公司网站（www.99fund.com）</w:t>
      </w:r>
      <w:r w:rsidRPr="002229C7">
        <w:rPr>
          <w:rFonts w:asciiTheme="minorEastAsia" w:hAnsiTheme="minorEastAsia"/>
          <w:sz w:val="24"/>
          <w:szCs w:val="24"/>
        </w:rPr>
        <w:t>了解相关情况。</w:t>
      </w:r>
    </w:p>
    <w:p w:rsidR="0077144C" w:rsidRPr="002229C7" w:rsidRDefault="0077144C" w:rsidP="0077144C">
      <w:pPr>
        <w:spacing w:line="360" w:lineRule="auto"/>
        <w:ind w:firstLineChars="200" w:firstLine="480"/>
        <w:rPr>
          <w:rFonts w:asciiTheme="minorEastAsia" w:hAnsiTheme="minorEastAsia"/>
          <w:sz w:val="24"/>
          <w:szCs w:val="24"/>
        </w:rPr>
      </w:pPr>
      <w:r w:rsidRPr="002229C7">
        <w:rPr>
          <w:rFonts w:asciiTheme="minorEastAsia" w:hAnsiTheme="minorEastAsia" w:hint="eastAsia"/>
          <w:sz w:val="24"/>
          <w:szCs w:val="24"/>
        </w:rPr>
        <w:t>特此公告。</w:t>
      </w:r>
    </w:p>
    <w:p w:rsidR="0077144C" w:rsidRPr="002229C7" w:rsidRDefault="0077144C" w:rsidP="0077144C">
      <w:pPr>
        <w:spacing w:line="360" w:lineRule="auto"/>
        <w:ind w:firstLineChars="200" w:firstLine="480"/>
        <w:jc w:val="right"/>
        <w:rPr>
          <w:rFonts w:asciiTheme="minorEastAsia" w:hAnsiTheme="minorEastAsia" w:cs="宋体"/>
          <w:color w:val="000000"/>
          <w:sz w:val="24"/>
          <w:szCs w:val="24"/>
        </w:rPr>
      </w:pPr>
      <w:r w:rsidRPr="002229C7">
        <w:rPr>
          <w:rFonts w:asciiTheme="minorEastAsia" w:hAnsiTheme="minorEastAsia" w:cs="宋体"/>
          <w:color w:val="000000"/>
          <w:sz w:val="24"/>
          <w:szCs w:val="24"/>
        </w:rPr>
        <w:t>汇添富基金管理股份有限公司</w:t>
      </w:r>
    </w:p>
    <w:p w:rsidR="0077144C" w:rsidRPr="0077144C" w:rsidRDefault="0077144C" w:rsidP="0077144C">
      <w:pPr>
        <w:spacing w:line="360" w:lineRule="auto"/>
        <w:ind w:firstLineChars="200" w:firstLine="480"/>
        <w:jc w:val="right"/>
        <w:rPr>
          <w:rFonts w:asciiTheme="minorEastAsia" w:hAnsiTheme="minorEastAsia" w:cs="Times New Roman"/>
          <w:sz w:val="24"/>
          <w:szCs w:val="24"/>
        </w:rPr>
      </w:pPr>
      <w:r w:rsidRPr="002229C7">
        <w:rPr>
          <w:rFonts w:asciiTheme="minorEastAsia" w:hAnsiTheme="minorEastAsia" w:cs="宋体"/>
          <w:color w:val="000000"/>
          <w:sz w:val="24"/>
          <w:szCs w:val="24"/>
        </w:rPr>
        <w:t>2023年12月</w:t>
      </w:r>
      <w:r w:rsidR="002229C7" w:rsidRPr="002229C7">
        <w:rPr>
          <w:rFonts w:asciiTheme="minorEastAsia" w:hAnsiTheme="minorEastAsia" w:cs="宋体"/>
          <w:color w:val="000000"/>
          <w:sz w:val="24"/>
          <w:szCs w:val="24"/>
        </w:rPr>
        <w:t>2</w:t>
      </w:r>
      <w:r w:rsidR="006E5530">
        <w:rPr>
          <w:rFonts w:asciiTheme="minorEastAsia" w:hAnsiTheme="minorEastAsia" w:cs="宋体"/>
          <w:color w:val="000000"/>
          <w:sz w:val="24"/>
          <w:szCs w:val="24"/>
        </w:rPr>
        <w:t>9</w:t>
      </w:r>
      <w:bookmarkStart w:id="0" w:name="_GoBack"/>
      <w:bookmarkEnd w:id="0"/>
      <w:r w:rsidRPr="002229C7">
        <w:rPr>
          <w:rFonts w:asciiTheme="minorEastAsia" w:hAnsiTheme="minorEastAsia" w:cs="宋体"/>
          <w:color w:val="000000"/>
          <w:sz w:val="24"/>
          <w:szCs w:val="24"/>
        </w:rPr>
        <w:t>日</w:t>
      </w:r>
    </w:p>
    <w:sectPr w:rsidR="0077144C" w:rsidRPr="0077144C" w:rsidSect="006E7A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4B7" w:rsidRDefault="000204B7" w:rsidP="008E4051">
      <w:r>
        <w:separator/>
      </w:r>
    </w:p>
  </w:endnote>
  <w:endnote w:type="continuationSeparator" w:id="0">
    <w:p w:rsidR="000204B7" w:rsidRDefault="000204B7" w:rsidP="008E40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4B7" w:rsidRDefault="000204B7" w:rsidP="008E4051">
      <w:r>
        <w:separator/>
      </w:r>
    </w:p>
  </w:footnote>
  <w:footnote w:type="continuationSeparator" w:id="0">
    <w:p w:rsidR="000204B7" w:rsidRDefault="000204B7" w:rsidP="008E40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17C8"/>
    <w:rsid w:val="000204B7"/>
    <w:rsid w:val="001637A1"/>
    <w:rsid w:val="001722EC"/>
    <w:rsid w:val="001C0708"/>
    <w:rsid w:val="002229C7"/>
    <w:rsid w:val="002463A5"/>
    <w:rsid w:val="002853E6"/>
    <w:rsid w:val="00303AB0"/>
    <w:rsid w:val="0039710B"/>
    <w:rsid w:val="003E6EF3"/>
    <w:rsid w:val="004F17C8"/>
    <w:rsid w:val="00657BF7"/>
    <w:rsid w:val="006D62DC"/>
    <w:rsid w:val="006E5530"/>
    <w:rsid w:val="006E7A89"/>
    <w:rsid w:val="0077144C"/>
    <w:rsid w:val="00773BAE"/>
    <w:rsid w:val="00870B1A"/>
    <w:rsid w:val="008E4051"/>
    <w:rsid w:val="00905218"/>
    <w:rsid w:val="009B515B"/>
    <w:rsid w:val="00A51EA6"/>
    <w:rsid w:val="00C17572"/>
    <w:rsid w:val="00C8123B"/>
    <w:rsid w:val="00F809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7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40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4051"/>
    <w:rPr>
      <w:sz w:val="18"/>
      <w:szCs w:val="18"/>
    </w:rPr>
  </w:style>
  <w:style w:type="paragraph" w:styleId="a4">
    <w:name w:val="footer"/>
    <w:basedOn w:val="a"/>
    <w:link w:val="Char0"/>
    <w:uiPriority w:val="99"/>
    <w:unhideWhenUsed/>
    <w:rsid w:val="008E4051"/>
    <w:pPr>
      <w:tabs>
        <w:tab w:val="center" w:pos="4153"/>
        <w:tab w:val="right" w:pos="8306"/>
      </w:tabs>
      <w:snapToGrid w:val="0"/>
      <w:jc w:val="left"/>
    </w:pPr>
    <w:rPr>
      <w:sz w:val="18"/>
      <w:szCs w:val="18"/>
    </w:rPr>
  </w:style>
  <w:style w:type="character" w:customStyle="1" w:styleId="Char0">
    <w:name w:val="页脚 Char"/>
    <w:basedOn w:val="a0"/>
    <w:link w:val="a4"/>
    <w:uiPriority w:val="99"/>
    <w:rsid w:val="008E4051"/>
    <w:rPr>
      <w:sz w:val="18"/>
      <w:szCs w:val="18"/>
    </w:rPr>
  </w:style>
  <w:style w:type="paragraph" w:styleId="a5">
    <w:name w:val="Balloon Text"/>
    <w:basedOn w:val="a"/>
    <w:link w:val="Char1"/>
    <w:uiPriority w:val="99"/>
    <w:semiHidden/>
    <w:unhideWhenUsed/>
    <w:rsid w:val="00870B1A"/>
    <w:rPr>
      <w:sz w:val="18"/>
      <w:szCs w:val="18"/>
    </w:rPr>
  </w:style>
  <w:style w:type="character" w:customStyle="1" w:styleId="Char1">
    <w:name w:val="批注框文本 Char"/>
    <w:basedOn w:val="a0"/>
    <w:link w:val="a5"/>
    <w:uiPriority w:val="99"/>
    <w:semiHidden/>
    <w:rsid w:val="00870B1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4</DocSecurity>
  <Lines>5</Lines>
  <Paragraphs>1</Paragraphs>
  <ScaleCrop>false</ScaleCrop>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王梦晖</dc:creator>
  <cp:keywords/>
  <dc:description/>
  <cp:lastModifiedBy>ZHONGM</cp:lastModifiedBy>
  <cp:revision>2</cp:revision>
  <dcterms:created xsi:type="dcterms:W3CDTF">2023-12-28T16:04:00Z</dcterms:created>
  <dcterms:modified xsi:type="dcterms:W3CDTF">2023-12-28T16:04:00Z</dcterms:modified>
</cp:coreProperties>
</file>