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B" w:rsidRPr="00C50193" w:rsidRDefault="00A134F9" w:rsidP="008472DB">
      <w:pPr>
        <w:widowControl/>
        <w:jc w:val="center"/>
        <w:rPr>
          <w:rFonts w:asciiTheme="minorEastAsia" w:eastAsiaTheme="minorEastAsia" w:hAnsiTheme="minorEastAsia" w:cs="宋体"/>
          <w:b/>
          <w:kern w:val="0"/>
          <w:sz w:val="30"/>
          <w:szCs w:val="30"/>
        </w:rPr>
      </w:pPr>
      <w:r w:rsidRPr="00C50193">
        <w:rPr>
          <w:rFonts w:asciiTheme="minorEastAsia" w:eastAsiaTheme="minorEastAsia" w:hAnsiTheme="minorEastAsia" w:cs="宋体" w:hint="eastAsia"/>
          <w:b/>
          <w:kern w:val="0"/>
          <w:sz w:val="30"/>
          <w:szCs w:val="30"/>
        </w:rPr>
        <w:t>关于华安安敦债券型证券投资基金基金暂停大额申购及大额转换转入的公告</w:t>
      </w:r>
    </w:p>
    <w:p w:rsidR="00D327FA" w:rsidRPr="00D82740" w:rsidRDefault="00A134F9" w:rsidP="008472DB">
      <w:pPr>
        <w:spacing w:line="560" w:lineRule="exact"/>
        <w:jc w:val="center"/>
        <w:rPr>
          <w:rFonts w:asciiTheme="minorEastAsia" w:eastAsiaTheme="minorEastAsia" w:hAnsiTheme="minorEastAsia" w:cs="宋体"/>
          <w:bCs/>
          <w:sz w:val="24"/>
          <w:szCs w:val="24"/>
        </w:rPr>
      </w:pPr>
      <w:r w:rsidRPr="00D82740">
        <w:rPr>
          <w:rFonts w:asciiTheme="minorEastAsia" w:eastAsiaTheme="minorEastAsia" w:hAnsiTheme="minorEastAsia"/>
          <w:color w:val="000000"/>
          <w:sz w:val="24"/>
          <w:szCs w:val="24"/>
        </w:rPr>
        <w:t>公告送出日期：</w:t>
      </w:r>
      <w:r w:rsidRPr="00D82740">
        <w:rPr>
          <w:rFonts w:asciiTheme="minorEastAsia" w:eastAsiaTheme="minorEastAsia" w:hAnsiTheme="minorEastAsia" w:cs="宋体"/>
          <w:bCs/>
          <w:sz w:val="24"/>
          <w:szCs w:val="24"/>
        </w:rPr>
        <w:t>2023年12月26日</w:t>
      </w:r>
    </w:p>
    <w:p w:rsidR="001A3CA1" w:rsidRPr="00D82740" w:rsidRDefault="00EF408D" w:rsidP="008472DB">
      <w:pPr>
        <w:spacing w:line="560" w:lineRule="exact"/>
        <w:jc w:val="center"/>
        <w:rPr>
          <w:rFonts w:asciiTheme="minorEastAsia" w:eastAsiaTheme="minorEastAsia" w:hAnsiTheme="minorEastAsia"/>
          <w:color w:val="000000"/>
          <w:sz w:val="24"/>
          <w:szCs w:val="24"/>
        </w:rPr>
      </w:pPr>
    </w:p>
    <w:p w:rsidR="00D327FA" w:rsidRPr="00D82740" w:rsidRDefault="00A134F9" w:rsidP="00D327FA">
      <w:pPr>
        <w:pStyle w:val="2"/>
        <w:spacing w:line="560" w:lineRule="exact"/>
        <w:rPr>
          <w:rFonts w:asciiTheme="minorEastAsia" w:eastAsiaTheme="minorEastAsia" w:hAnsiTheme="minorEastAsia"/>
          <w:bCs w:val="0"/>
          <w:color w:val="000000"/>
          <w:sz w:val="24"/>
          <w:szCs w:val="24"/>
        </w:rPr>
      </w:pPr>
      <w:bookmarkStart w:id="0" w:name="_Toc275961405"/>
      <w:r w:rsidRPr="00D82740">
        <w:rPr>
          <w:rFonts w:asciiTheme="minorEastAsia" w:eastAsiaTheme="minorEastAsia" w:hAnsiTheme="minorEastAsia"/>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3"/>
        <w:gridCol w:w="2941"/>
        <w:gridCol w:w="24"/>
        <w:gridCol w:w="3529"/>
        <w:gridCol w:w="41"/>
      </w:tblGrid>
      <w:tr w:rsidR="00C92C8E" w:rsidTr="00A134F9">
        <w:trPr>
          <w:gridAfter w:val="1"/>
          <w:wAfter w:w="41" w:type="dxa"/>
          <w:jc w:val="center"/>
        </w:trPr>
        <w:tc>
          <w:tcPr>
            <w:tcW w:w="3063" w:type="dxa"/>
          </w:tcPr>
          <w:p w:rsidR="00D327FA" w:rsidRPr="00D82740" w:rsidRDefault="00A134F9" w:rsidP="00E93AFC">
            <w:pPr>
              <w:spacing w:line="560" w:lineRule="exact"/>
              <w:rPr>
                <w:rFonts w:asciiTheme="minorEastAsia" w:eastAsiaTheme="minorEastAsia" w:hAnsiTheme="minorEastAsia"/>
                <w:color w:val="000000"/>
                <w:sz w:val="24"/>
                <w:szCs w:val="24"/>
                <w:highlight w:val="cyan"/>
              </w:rPr>
            </w:pPr>
            <w:r w:rsidRPr="00D82740">
              <w:rPr>
                <w:rFonts w:asciiTheme="minorEastAsia" w:eastAsiaTheme="minorEastAsia" w:hAnsiTheme="minorEastAsia"/>
                <w:color w:val="000000"/>
                <w:sz w:val="24"/>
                <w:szCs w:val="24"/>
              </w:rPr>
              <w:t>基金名称</w:t>
            </w:r>
          </w:p>
        </w:tc>
        <w:tc>
          <w:tcPr>
            <w:tcW w:w="6494" w:type="dxa"/>
            <w:gridSpan w:val="3"/>
            <w:vAlign w:val="center"/>
          </w:tcPr>
          <w:p w:rsidR="00D327FA" w:rsidRPr="00D82740" w:rsidRDefault="00A134F9"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华安安敦债券型证券投资基金</w:t>
            </w:r>
          </w:p>
        </w:tc>
      </w:tr>
      <w:tr w:rsidR="00C92C8E" w:rsidTr="00A134F9">
        <w:trPr>
          <w:gridAfter w:val="1"/>
          <w:wAfter w:w="41" w:type="dxa"/>
          <w:jc w:val="center"/>
        </w:trPr>
        <w:tc>
          <w:tcPr>
            <w:tcW w:w="3063" w:type="dxa"/>
          </w:tcPr>
          <w:p w:rsidR="00D327FA" w:rsidRPr="00D82740" w:rsidRDefault="00A134F9"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基金简称</w:t>
            </w:r>
          </w:p>
        </w:tc>
        <w:tc>
          <w:tcPr>
            <w:tcW w:w="6494" w:type="dxa"/>
            <w:gridSpan w:val="3"/>
            <w:vAlign w:val="center"/>
          </w:tcPr>
          <w:p w:rsidR="00D327FA" w:rsidRPr="00D82740" w:rsidRDefault="00A134F9"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华安安敦债券</w:t>
            </w:r>
          </w:p>
        </w:tc>
      </w:tr>
      <w:tr w:rsidR="00C92C8E" w:rsidTr="00A134F9">
        <w:trPr>
          <w:gridAfter w:val="1"/>
          <w:wAfter w:w="41" w:type="dxa"/>
          <w:jc w:val="center"/>
        </w:trPr>
        <w:tc>
          <w:tcPr>
            <w:tcW w:w="3063" w:type="dxa"/>
            <w:vAlign w:val="center"/>
          </w:tcPr>
          <w:p w:rsidR="00F95610" w:rsidRPr="00D82740" w:rsidRDefault="00A134F9" w:rsidP="00FB02B7">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基金主代码</w:t>
            </w:r>
          </w:p>
        </w:tc>
        <w:tc>
          <w:tcPr>
            <w:tcW w:w="6494" w:type="dxa"/>
            <w:gridSpan w:val="3"/>
            <w:vAlign w:val="center"/>
          </w:tcPr>
          <w:p w:rsidR="00F95610" w:rsidRPr="00D82740" w:rsidRDefault="00A134F9" w:rsidP="00FB02B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008426</w:t>
            </w:r>
          </w:p>
        </w:tc>
      </w:tr>
      <w:tr w:rsidR="00C92C8E" w:rsidTr="00A134F9">
        <w:trPr>
          <w:gridAfter w:val="1"/>
          <w:wAfter w:w="41" w:type="dxa"/>
          <w:jc w:val="center"/>
        </w:trPr>
        <w:tc>
          <w:tcPr>
            <w:tcW w:w="3063" w:type="dxa"/>
          </w:tcPr>
          <w:p w:rsidR="00F95610" w:rsidRPr="00D82740" w:rsidRDefault="00A134F9"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基金管理人名称</w:t>
            </w:r>
          </w:p>
        </w:tc>
        <w:tc>
          <w:tcPr>
            <w:tcW w:w="6494" w:type="dxa"/>
            <w:gridSpan w:val="3"/>
            <w:vAlign w:val="center"/>
          </w:tcPr>
          <w:p w:rsidR="00F95610" w:rsidRPr="00D82740" w:rsidRDefault="00A134F9"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华安基金管理有限公司</w:t>
            </w:r>
          </w:p>
        </w:tc>
      </w:tr>
      <w:tr w:rsidR="00C92C8E" w:rsidTr="00A134F9">
        <w:trPr>
          <w:gridAfter w:val="1"/>
          <w:wAfter w:w="41" w:type="dxa"/>
          <w:jc w:val="center"/>
        </w:trPr>
        <w:tc>
          <w:tcPr>
            <w:tcW w:w="3063" w:type="dxa"/>
          </w:tcPr>
          <w:p w:rsidR="00F95610" w:rsidRPr="00D82740" w:rsidRDefault="00A134F9"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公告依据</w:t>
            </w:r>
          </w:p>
        </w:tc>
        <w:tc>
          <w:tcPr>
            <w:tcW w:w="6494" w:type="dxa"/>
            <w:gridSpan w:val="3"/>
            <w:vAlign w:val="center"/>
          </w:tcPr>
          <w:p w:rsidR="00F95610" w:rsidRPr="00D82740" w:rsidRDefault="00A134F9"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根据《中华人民共和国证券投资基金法》及其配套法规、《华安安敦债券型证券投资基金基金合同》《华安安敦债券型证券投资基金招募说明书》等有关规定</w:t>
            </w:r>
          </w:p>
        </w:tc>
      </w:tr>
      <w:tr w:rsidR="00C92C8E" w:rsidTr="00A134F9">
        <w:trPr>
          <w:gridAfter w:val="1"/>
          <w:wAfter w:w="41" w:type="dxa"/>
          <w:jc w:val="center"/>
        </w:trPr>
        <w:tc>
          <w:tcPr>
            <w:tcW w:w="3063" w:type="dxa"/>
            <w:vMerge w:val="restart"/>
            <w:vAlign w:val="center"/>
          </w:tcPr>
          <w:p w:rsidR="00F95610" w:rsidRPr="00D82740" w:rsidRDefault="00A134F9" w:rsidP="00E93AFC">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暂停相关业务的起始日、金额及原因说明</w:t>
            </w:r>
          </w:p>
        </w:tc>
        <w:tc>
          <w:tcPr>
            <w:tcW w:w="2941" w:type="dxa"/>
          </w:tcPr>
          <w:p w:rsidR="00F95610" w:rsidRPr="00D82740" w:rsidRDefault="00A134F9" w:rsidP="00E93AFC">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暂停大额申购起始日</w:t>
            </w:r>
          </w:p>
        </w:tc>
        <w:tc>
          <w:tcPr>
            <w:tcW w:w="3553" w:type="dxa"/>
            <w:gridSpan w:val="2"/>
            <w:vAlign w:val="center"/>
          </w:tcPr>
          <w:p w:rsidR="00F95610" w:rsidRPr="00D82740" w:rsidRDefault="00A134F9" w:rsidP="00327DA7">
            <w:pPr>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2023年12月26日</w:t>
            </w:r>
          </w:p>
        </w:tc>
      </w:tr>
      <w:tr w:rsidR="00C92C8E" w:rsidTr="00A134F9">
        <w:trPr>
          <w:gridAfter w:val="1"/>
          <w:wAfter w:w="41" w:type="dxa"/>
          <w:jc w:val="center"/>
        </w:trPr>
        <w:tc>
          <w:tcPr>
            <w:tcW w:w="3063" w:type="dxa"/>
            <w:vMerge/>
          </w:tcPr>
          <w:p w:rsidR="00F95610" w:rsidRPr="00D82740" w:rsidRDefault="00EF408D" w:rsidP="00E93AFC">
            <w:pPr>
              <w:spacing w:line="560" w:lineRule="exact"/>
              <w:rPr>
                <w:rFonts w:asciiTheme="minorEastAsia" w:eastAsiaTheme="minorEastAsia" w:hAnsiTheme="minorEastAsia"/>
                <w:color w:val="000000"/>
                <w:sz w:val="24"/>
                <w:szCs w:val="24"/>
              </w:rPr>
            </w:pPr>
          </w:p>
        </w:tc>
        <w:tc>
          <w:tcPr>
            <w:tcW w:w="2941" w:type="dxa"/>
          </w:tcPr>
          <w:p w:rsidR="00F95610" w:rsidRPr="00D82740" w:rsidRDefault="00A134F9" w:rsidP="00E93AFC">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暂停大额转换转入起始日</w:t>
            </w:r>
          </w:p>
        </w:tc>
        <w:tc>
          <w:tcPr>
            <w:tcW w:w="3553" w:type="dxa"/>
            <w:gridSpan w:val="2"/>
            <w:vAlign w:val="center"/>
          </w:tcPr>
          <w:p w:rsidR="00F95610" w:rsidRPr="00D82740" w:rsidRDefault="00A134F9"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2023年12月26日</w:t>
            </w:r>
          </w:p>
        </w:tc>
      </w:tr>
      <w:tr w:rsidR="00C92C8E" w:rsidTr="00A134F9">
        <w:trPr>
          <w:gridAfter w:val="1"/>
          <w:wAfter w:w="41" w:type="dxa"/>
          <w:jc w:val="center"/>
        </w:trPr>
        <w:tc>
          <w:tcPr>
            <w:tcW w:w="3063" w:type="dxa"/>
            <w:vMerge/>
          </w:tcPr>
          <w:p w:rsidR="00F95610" w:rsidRPr="00D82740" w:rsidRDefault="00EF408D" w:rsidP="00E93AFC">
            <w:pPr>
              <w:spacing w:line="560" w:lineRule="exact"/>
              <w:rPr>
                <w:rFonts w:asciiTheme="minorEastAsia" w:eastAsiaTheme="minorEastAsia" w:hAnsiTheme="minorEastAsia"/>
                <w:color w:val="000000"/>
                <w:sz w:val="24"/>
                <w:szCs w:val="24"/>
              </w:rPr>
            </w:pPr>
          </w:p>
        </w:tc>
        <w:tc>
          <w:tcPr>
            <w:tcW w:w="2941" w:type="dxa"/>
          </w:tcPr>
          <w:p w:rsidR="00F95610" w:rsidRPr="00D82740" w:rsidRDefault="00A134F9" w:rsidP="00E93AFC">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限制申购金额（单位：</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553" w:type="dxa"/>
            <w:gridSpan w:val="2"/>
            <w:vAlign w:val="center"/>
          </w:tcPr>
          <w:p w:rsidR="00F95610" w:rsidRPr="00D82740" w:rsidRDefault="00A134F9"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100,000.00</w:t>
            </w:r>
          </w:p>
        </w:tc>
      </w:tr>
      <w:tr w:rsidR="00C92C8E" w:rsidTr="00A134F9">
        <w:trPr>
          <w:gridAfter w:val="1"/>
          <w:wAfter w:w="41" w:type="dxa"/>
          <w:jc w:val="center"/>
        </w:trPr>
        <w:tc>
          <w:tcPr>
            <w:tcW w:w="3063" w:type="dxa"/>
            <w:vMerge/>
          </w:tcPr>
          <w:p w:rsidR="00F95610" w:rsidRPr="00D82740" w:rsidRDefault="00EF408D" w:rsidP="00E93AFC">
            <w:pPr>
              <w:spacing w:line="560" w:lineRule="exact"/>
              <w:rPr>
                <w:rFonts w:asciiTheme="minorEastAsia" w:eastAsiaTheme="minorEastAsia" w:hAnsiTheme="minorEastAsia"/>
                <w:color w:val="000000"/>
                <w:sz w:val="24"/>
                <w:szCs w:val="24"/>
              </w:rPr>
            </w:pPr>
          </w:p>
        </w:tc>
        <w:tc>
          <w:tcPr>
            <w:tcW w:w="2941" w:type="dxa"/>
          </w:tcPr>
          <w:p w:rsidR="00F95610" w:rsidRPr="00D82740" w:rsidRDefault="00A134F9" w:rsidP="00E93AFC">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限制转换转入金额（单位：</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553" w:type="dxa"/>
            <w:gridSpan w:val="2"/>
            <w:vAlign w:val="center"/>
          </w:tcPr>
          <w:p w:rsidR="00F95610" w:rsidRPr="00D82740" w:rsidRDefault="00A134F9"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100,000.00</w:t>
            </w:r>
          </w:p>
        </w:tc>
      </w:tr>
      <w:tr w:rsidR="00C92C8E" w:rsidTr="00A134F9">
        <w:trPr>
          <w:gridAfter w:val="1"/>
          <w:wAfter w:w="41" w:type="dxa"/>
          <w:jc w:val="center"/>
        </w:trPr>
        <w:tc>
          <w:tcPr>
            <w:tcW w:w="3063" w:type="dxa"/>
            <w:vAlign w:val="center"/>
          </w:tcPr>
          <w:p w:rsidR="00F95610" w:rsidRPr="00D82740" w:rsidRDefault="00EF408D" w:rsidP="00E93AFC">
            <w:pPr>
              <w:spacing w:line="560" w:lineRule="exact"/>
              <w:rPr>
                <w:rFonts w:asciiTheme="minorEastAsia" w:eastAsiaTheme="minorEastAsia" w:hAnsiTheme="minorEastAsia"/>
                <w:color w:val="000000"/>
                <w:sz w:val="24"/>
                <w:szCs w:val="24"/>
              </w:rPr>
            </w:pPr>
          </w:p>
        </w:tc>
        <w:tc>
          <w:tcPr>
            <w:tcW w:w="2941" w:type="dxa"/>
          </w:tcPr>
          <w:p w:rsidR="00F95610" w:rsidRPr="00D82740" w:rsidRDefault="00A134F9" w:rsidP="00E93AFC">
            <w:pPr>
              <w:spacing w:line="560" w:lineRule="exact"/>
              <w:rPr>
                <w:rFonts w:asciiTheme="minorEastAsia" w:eastAsiaTheme="minorEastAsia" w:hAnsiTheme="minorEastAsia"/>
                <w:color w:val="000000"/>
                <w:kern w:val="0"/>
                <w:sz w:val="24"/>
                <w:szCs w:val="24"/>
              </w:rPr>
            </w:pPr>
            <w:r>
              <w:rPr>
                <w:rFonts w:eastAsia="宋体"/>
                <w:sz w:val="24"/>
                <w:szCs w:val="24"/>
              </w:rPr>
              <w:t>暂停大额</w:t>
            </w:r>
            <w:r w:rsidRPr="00A07D64">
              <w:rPr>
                <w:rFonts w:eastAsia="宋体"/>
                <w:sz w:val="24"/>
                <w:szCs w:val="24"/>
              </w:rPr>
              <w:t>申购</w:t>
            </w:r>
            <w:r>
              <w:rPr>
                <w:rFonts w:eastAsia="宋体" w:hint="eastAsia"/>
                <w:sz w:val="24"/>
                <w:szCs w:val="24"/>
              </w:rPr>
              <w:t>及大额</w:t>
            </w:r>
            <w:r w:rsidRPr="00A07D64">
              <w:rPr>
                <w:rFonts w:eastAsia="宋体"/>
                <w:sz w:val="24"/>
                <w:szCs w:val="24"/>
              </w:rPr>
              <w:t>转换转入的原因说明</w:t>
            </w:r>
          </w:p>
        </w:tc>
        <w:tc>
          <w:tcPr>
            <w:tcW w:w="3553" w:type="dxa"/>
            <w:gridSpan w:val="2"/>
          </w:tcPr>
          <w:p w:rsidR="00F95610" w:rsidRPr="00D82740" w:rsidRDefault="00A134F9" w:rsidP="00E93AFC">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为了保证基金的平稳运作，保护基金持有人利益，本基金管理人决定自2023年12月26日起暂停本基金大额申购及大额转换转入业务。</w:t>
            </w:r>
          </w:p>
        </w:tc>
      </w:tr>
      <w:tr w:rsidR="00C92C8E" w:rsidTr="00A134F9">
        <w:trPr>
          <w:jc w:val="center"/>
        </w:trPr>
        <w:tc>
          <w:tcPr>
            <w:tcW w:w="3063" w:type="dxa"/>
            <w:vAlign w:val="center"/>
          </w:tcPr>
          <w:p w:rsidR="00D33E60" w:rsidRPr="00D82740" w:rsidRDefault="00A134F9" w:rsidP="00E72255">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下属分级基金的基金简称</w:t>
            </w:r>
          </w:p>
        </w:tc>
        <w:tc>
          <w:tcPr>
            <w:tcW w:w="2965" w:type="dxa"/>
            <w:gridSpan w:val="2"/>
            <w:vAlign w:val="center"/>
          </w:tcPr>
          <w:p w:rsidR="00D33E60" w:rsidRPr="00D82740" w:rsidRDefault="00A134F9"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华安安敦债券A</w:t>
            </w:r>
          </w:p>
        </w:tc>
        <w:tc>
          <w:tcPr>
            <w:tcW w:w="3570" w:type="dxa"/>
            <w:gridSpan w:val="2"/>
            <w:vAlign w:val="center"/>
          </w:tcPr>
          <w:p w:rsidR="00D33E60" w:rsidRPr="00D82740" w:rsidRDefault="00A134F9"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华安安敦债券C</w:t>
            </w:r>
          </w:p>
        </w:tc>
      </w:tr>
      <w:tr w:rsidR="00C92C8E" w:rsidTr="00A134F9">
        <w:trPr>
          <w:jc w:val="center"/>
        </w:trPr>
        <w:tc>
          <w:tcPr>
            <w:tcW w:w="3063" w:type="dxa"/>
            <w:vAlign w:val="center"/>
          </w:tcPr>
          <w:p w:rsidR="00D33E60" w:rsidRPr="00D82740" w:rsidRDefault="00A134F9"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下属分级基金的交易代码</w:t>
            </w:r>
          </w:p>
        </w:tc>
        <w:tc>
          <w:tcPr>
            <w:tcW w:w="2965" w:type="dxa"/>
            <w:gridSpan w:val="2"/>
            <w:vAlign w:val="center"/>
          </w:tcPr>
          <w:p w:rsidR="00D33E60" w:rsidRPr="00D82740" w:rsidRDefault="00A134F9"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008426</w:t>
            </w:r>
          </w:p>
        </w:tc>
        <w:tc>
          <w:tcPr>
            <w:tcW w:w="3570" w:type="dxa"/>
            <w:gridSpan w:val="2"/>
            <w:vAlign w:val="center"/>
          </w:tcPr>
          <w:p w:rsidR="00D33E60" w:rsidRPr="00D82740" w:rsidRDefault="00A134F9"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008427</w:t>
            </w:r>
          </w:p>
        </w:tc>
      </w:tr>
      <w:tr w:rsidR="00A134F9" w:rsidTr="00A134F9">
        <w:trPr>
          <w:jc w:val="center"/>
        </w:trPr>
        <w:tc>
          <w:tcPr>
            <w:tcW w:w="3063" w:type="dxa"/>
          </w:tcPr>
          <w:p w:rsidR="00A134F9" w:rsidRPr="00D82740" w:rsidRDefault="00A134F9" w:rsidP="00A134F9">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lastRenderedPageBreak/>
              <w:t>该分级基金是否</w:t>
            </w:r>
            <w:r w:rsidRPr="00532EE9">
              <w:rPr>
                <w:rFonts w:asciiTheme="minorEastAsia" w:eastAsiaTheme="minorEastAsia" w:hAnsiTheme="minorEastAsia" w:hint="eastAsia"/>
                <w:color w:val="000000"/>
                <w:sz w:val="24"/>
                <w:szCs w:val="24"/>
              </w:rPr>
              <w:t>暂停</w:t>
            </w:r>
            <w:r>
              <w:rPr>
                <w:rFonts w:eastAsia="宋体"/>
                <w:sz w:val="24"/>
                <w:szCs w:val="24"/>
              </w:rPr>
              <w:t>大额</w:t>
            </w:r>
            <w:r w:rsidRPr="00A07D64">
              <w:rPr>
                <w:rFonts w:eastAsia="宋体"/>
                <w:sz w:val="24"/>
                <w:szCs w:val="24"/>
              </w:rPr>
              <w:t>申购</w:t>
            </w:r>
            <w:r>
              <w:rPr>
                <w:rFonts w:eastAsia="宋体" w:hint="eastAsia"/>
                <w:sz w:val="24"/>
                <w:szCs w:val="24"/>
              </w:rPr>
              <w:t>及大额</w:t>
            </w:r>
            <w:r w:rsidRPr="00A07D64">
              <w:rPr>
                <w:rFonts w:eastAsia="宋体"/>
                <w:sz w:val="24"/>
                <w:szCs w:val="24"/>
              </w:rPr>
              <w:t>转换转入</w:t>
            </w:r>
          </w:p>
        </w:tc>
        <w:tc>
          <w:tcPr>
            <w:tcW w:w="2965" w:type="dxa"/>
            <w:gridSpan w:val="2"/>
            <w:vAlign w:val="center"/>
          </w:tcPr>
          <w:p w:rsidR="00A134F9" w:rsidRPr="00D82740" w:rsidRDefault="00A134F9" w:rsidP="00A134F9">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c>
          <w:tcPr>
            <w:tcW w:w="3570" w:type="dxa"/>
            <w:gridSpan w:val="2"/>
            <w:vAlign w:val="center"/>
          </w:tcPr>
          <w:p w:rsidR="00A134F9" w:rsidRPr="00D82740" w:rsidRDefault="00A134F9" w:rsidP="00A134F9">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r>
      <w:tr w:rsidR="00A134F9" w:rsidTr="00A134F9">
        <w:trPr>
          <w:jc w:val="center"/>
        </w:trPr>
        <w:tc>
          <w:tcPr>
            <w:tcW w:w="3063" w:type="dxa"/>
          </w:tcPr>
          <w:p w:rsidR="00A134F9" w:rsidRPr="00D82740" w:rsidRDefault="00A134F9" w:rsidP="00A134F9">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下属分级基金的限制申购金额（单位：</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2965" w:type="dxa"/>
            <w:gridSpan w:val="2"/>
            <w:vAlign w:val="center"/>
          </w:tcPr>
          <w:p w:rsidR="00A134F9" w:rsidRPr="00D82740" w:rsidRDefault="00A134F9" w:rsidP="00A134F9">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100,000.00</w:t>
            </w:r>
          </w:p>
        </w:tc>
        <w:tc>
          <w:tcPr>
            <w:tcW w:w="3570" w:type="dxa"/>
            <w:gridSpan w:val="2"/>
            <w:vAlign w:val="center"/>
          </w:tcPr>
          <w:p w:rsidR="00A134F9" w:rsidRPr="00D82740" w:rsidRDefault="00A134F9" w:rsidP="00A134F9">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100,000.00</w:t>
            </w:r>
          </w:p>
        </w:tc>
      </w:tr>
      <w:tr w:rsidR="00A134F9" w:rsidTr="00A134F9">
        <w:trPr>
          <w:jc w:val="center"/>
        </w:trPr>
        <w:tc>
          <w:tcPr>
            <w:tcW w:w="3063" w:type="dxa"/>
          </w:tcPr>
          <w:p w:rsidR="00A134F9" w:rsidRPr="00D82740" w:rsidRDefault="00A134F9" w:rsidP="00A134F9">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 xml:space="preserve">下属分级基金的限制转换转入金额（单位： </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w:t>
            </w:r>
          </w:p>
        </w:tc>
        <w:tc>
          <w:tcPr>
            <w:tcW w:w="2965" w:type="dxa"/>
            <w:gridSpan w:val="2"/>
            <w:vAlign w:val="center"/>
          </w:tcPr>
          <w:p w:rsidR="00A134F9" w:rsidRPr="00D82740" w:rsidRDefault="00A134F9" w:rsidP="00A134F9">
            <w:pPr>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100,000.00</w:t>
            </w:r>
          </w:p>
        </w:tc>
        <w:tc>
          <w:tcPr>
            <w:tcW w:w="3570" w:type="dxa"/>
            <w:gridSpan w:val="2"/>
            <w:vAlign w:val="center"/>
          </w:tcPr>
          <w:p w:rsidR="00A134F9" w:rsidRPr="00D82740" w:rsidRDefault="00A134F9" w:rsidP="00A134F9">
            <w:pPr>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100,000.00</w:t>
            </w:r>
          </w:p>
        </w:tc>
      </w:tr>
    </w:tbl>
    <w:p w:rsidR="00D327FA" w:rsidRPr="00D82740" w:rsidRDefault="00A134F9" w:rsidP="00D327FA">
      <w:pPr>
        <w:pStyle w:val="2"/>
        <w:spacing w:line="560" w:lineRule="exact"/>
        <w:rPr>
          <w:rFonts w:asciiTheme="minorEastAsia" w:eastAsiaTheme="minorEastAsia" w:hAnsiTheme="minorEastAsia"/>
          <w:bCs w:val="0"/>
          <w:color w:val="000000"/>
          <w:sz w:val="24"/>
          <w:szCs w:val="24"/>
        </w:rPr>
      </w:pPr>
      <w:bookmarkStart w:id="1" w:name="_Toc275961406"/>
      <w:r w:rsidRPr="00D82740">
        <w:rPr>
          <w:rFonts w:asciiTheme="minorEastAsia" w:eastAsiaTheme="minorEastAsia" w:hAnsiTheme="minorEastAsia"/>
          <w:bCs w:val="0"/>
          <w:color w:val="000000"/>
          <w:sz w:val="24"/>
          <w:szCs w:val="24"/>
        </w:rPr>
        <w:t>2其他需要提示的事项</w:t>
      </w:r>
      <w:bookmarkEnd w:id="1"/>
    </w:p>
    <w:p w:rsidR="00C92C8E" w:rsidRDefault="00A134F9">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（1）在暂停大额申购及大额转换转入业务期间，单日每个基金账户的累计申购及转换转入的金额应不超过10万元，如单日每个基金账户的累计申购及转换转入的金额超过10万元，本基金将有权拒绝。</w:t>
      </w:r>
    </w:p>
    <w:p w:rsidR="00C92C8E" w:rsidRDefault="00A134F9">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（2）在暂停大额申购及大额转换转入业务期间，投资者提交的开户、申购、赎回、转换等其他业务仍照常办理。恢复办理本基金的大额申购及大额转换转入业务的日期本公司将另行公告。</w:t>
      </w:r>
    </w:p>
    <w:p w:rsidR="00C92C8E" w:rsidRDefault="00A134F9">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投资者可登录本基金管理人网站（www.huaan.com.cn），或拨打客户服务电话40088-50099咨询相关信息。</w:t>
      </w:r>
      <w:bookmarkStart w:id="2" w:name="_GoBack"/>
      <w:bookmarkEnd w:id="2"/>
    </w:p>
    <w:p w:rsidR="00C92C8E" w:rsidRDefault="00A134F9">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C92C8E" w:rsidRDefault="00C92C8E">
      <w:pPr>
        <w:spacing w:line="560" w:lineRule="exact"/>
        <w:ind w:firstLine="420"/>
        <w:rPr>
          <w:rFonts w:asciiTheme="minorEastAsia" w:eastAsiaTheme="minorEastAsia" w:hAnsiTheme="minorEastAsia"/>
          <w:sz w:val="24"/>
          <w:szCs w:val="24"/>
        </w:rPr>
      </w:pPr>
    </w:p>
    <w:p w:rsidR="00C92C8E" w:rsidRDefault="00A134F9" w:rsidP="00A134F9">
      <w:pPr>
        <w:spacing w:line="560" w:lineRule="exact"/>
        <w:ind w:firstLine="420"/>
        <w:jc w:val="right"/>
        <w:rPr>
          <w:rFonts w:asciiTheme="minorEastAsia" w:eastAsiaTheme="minorEastAsia" w:hAnsiTheme="minorEastAsia"/>
          <w:sz w:val="24"/>
          <w:szCs w:val="24"/>
        </w:rPr>
      </w:pPr>
      <w:r>
        <w:rPr>
          <w:rFonts w:asciiTheme="minorEastAsia" w:eastAsiaTheme="minorEastAsia" w:hAnsiTheme="minorEastAsia"/>
          <w:sz w:val="24"/>
          <w:szCs w:val="24"/>
        </w:rPr>
        <w:t>华安基金管理有限公司</w:t>
      </w:r>
    </w:p>
    <w:p w:rsidR="00364C2A" w:rsidRPr="00D82740" w:rsidRDefault="00A134F9" w:rsidP="00A134F9">
      <w:pPr>
        <w:spacing w:line="560" w:lineRule="exact"/>
        <w:ind w:firstLine="420"/>
        <w:jc w:val="right"/>
        <w:rPr>
          <w:rFonts w:asciiTheme="minorEastAsia" w:eastAsiaTheme="minorEastAsia" w:hAnsiTheme="minorEastAsia"/>
          <w:sz w:val="24"/>
          <w:szCs w:val="24"/>
        </w:rPr>
      </w:pPr>
      <w:r w:rsidRPr="00D82740">
        <w:rPr>
          <w:rFonts w:asciiTheme="minorEastAsia" w:eastAsiaTheme="minorEastAsia" w:hAnsiTheme="minorEastAsia"/>
          <w:sz w:val="24"/>
          <w:szCs w:val="24"/>
        </w:rPr>
        <w:t>2023年12月26日</w:t>
      </w:r>
    </w:p>
    <w:sectPr w:rsidR="00364C2A" w:rsidRPr="00D82740"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4F9" w:rsidRDefault="00A134F9" w:rsidP="00A134F9">
      <w:r>
        <w:separator/>
      </w:r>
    </w:p>
  </w:endnote>
  <w:endnote w:type="continuationSeparator" w:id="0">
    <w:p w:rsidR="00A134F9" w:rsidRDefault="00A134F9" w:rsidP="00A134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4F9" w:rsidRDefault="00A134F9" w:rsidP="00A134F9">
      <w:r>
        <w:separator/>
      </w:r>
    </w:p>
  </w:footnote>
  <w:footnote w:type="continuationSeparator" w:id="0">
    <w:p w:rsidR="00A134F9" w:rsidRDefault="00A134F9" w:rsidP="00A13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C8E"/>
    <w:rsid w:val="000408B4"/>
    <w:rsid w:val="00A134F9"/>
    <w:rsid w:val="00C92C8E"/>
    <w:rsid w:val="00EF4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4</DocSecurity>
  <Lines>6</Lines>
  <Paragraphs>1</Paragraphs>
  <ScaleCrop>false</ScaleCrop>
  <Company>微软中国</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2023-12-25T16:02:00Z</dcterms:created>
  <dcterms:modified xsi:type="dcterms:W3CDTF">2023-12-25T16:02:00Z</dcterms:modified>
</cp:coreProperties>
</file>