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4" w:rsidRPr="00034CBC" w:rsidRDefault="00D95DEA" w:rsidP="00F16FC2">
      <w:pPr>
        <w:autoSpaceDE/>
        <w:autoSpaceDN/>
        <w:spacing w:beforeLines="50"/>
        <w:ind w:rightChars="-15" w:right="-33"/>
        <w:jc w:val="center"/>
        <w:rPr>
          <w:rFonts w:asciiTheme="minorHAnsi" w:eastAsiaTheme="minorEastAsia" w:hAnsiTheme="minorHAnsi" w:cstheme="minorBidi"/>
          <w:b/>
          <w:color w:val="000000" w:themeColor="text1"/>
          <w:kern w:val="2"/>
          <w:sz w:val="36"/>
          <w:szCs w:val="36"/>
          <w:lang w:eastAsia="zh-CN"/>
        </w:rPr>
      </w:pPr>
      <w:r w:rsidRPr="00034CBC">
        <w:rPr>
          <w:rFonts w:asciiTheme="minorHAnsi" w:eastAsiaTheme="minorEastAsia" w:hAnsiTheme="minorHAnsi" w:cstheme="minorBidi"/>
          <w:b/>
          <w:color w:val="000000" w:themeColor="text1"/>
          <w:kern w:val="2"/>
          <w:sz w:val="36"/>
          <w:szCs w:val="36"/>
          <w:lang w:eastAsia="zh-CN"/>
        </w:rPr>
        <w:t>泓德基金管理有限公司</w:t>
      </w:r>
    </w:p>
    <w:p w:rsidR="00E21687" w:rsidRPr="00034CBC" w:rsidRDefault="00D95DEA" w:rsidP="00F16FC2">
      <w:pPr>
        <w:autoSpaceDE/>
        <w:autoSpaceDN/>
        <w:spacing w:beforeLines="50"/>
        <w:ind w:rightChars="-15" w:right="-33"/>
        <w:jc w:val="center"/>
        <w:rPr>
          <w:rFonts w:asciiTheme="minorHAnsi" w:eastAsiaTheme="minorEastAsia" w:hAnsiTheme="minorHAnsi" w:cstheme="minorBidi"/>
          <w:b/>
          <w:color w:val="000000" w:themeColor="text1"/>
          <w:kern w:val="2"/>
          <w:sz w:val="36"/>
          <w:szCs w:val="36"/>
          <w:lang w:eastAsia="zh-CN"/>
        </w:rPr>
      </w:pPr>
      <w:r w:rsidRPr="00034CBC">
        <w:rPr>
          <w:rFonts w:asciiTheme="minorHAnsi" w:eastAsiaTheme="minorEastAsia" w:hAnsiTheme="minorHAnsi" w:cstheme="minorBidi" w:hint="eastAsia"/>
          <w:b/>
          <w:color w:val="000000" w:themeColor="text1"/>
          <w:kern w:val="2"/>
          <w:sz w:val="36"/>
          <w:szCs w:val="36"/>
          <w:lang w:eastAsia="zh-CN"/>
        </w:rPr>
        <w:t>关于泓德</w:t>
      </w:r>
      <w:r w:rsidR="00422173">
        <w:rPr>
          <w:rFonts w:asciiTheme="minorHAnsi" w:eastAsiaTheme="minorEastAsia" w:hAnsiTheme="minorHAnsi" w:cstheme="minorBidi" w:hint="eastAsia"/>
          <w:b/>
          <w:color w:val="000000" w:themeColor="text1"/>
          <w:kern w:val="2"/>
          <w:sz w:val="36"/>
          <w:szCs w:val="36"/>
          <w:lang w:eastAsia="zh-CN"/>
        </w:rPr>
        <w:t>研究优选</w:t>
      </w:r>
      <w:r w:rsidR="00E21687" w:rsidRPr="00034CBC">
        <w:rPr>
          <w:rFonts w:asciiTheme="minorHAnsi" w:eastAsiaTheme="minorEastAsia" w:hAnsiTheme="minorHAnsi" w:cstheme="minorBidi" w:hint="eastAsia"/>
          <w:b/>
          <w:color w:val="000000" w:themeColor="text1"/>
          <w:kern w:val="2"/>
          <w:sz w:val="36"/>
          <w:szCs w:val="36"/>
          <w:lang w:eastAsia="zh-CN"/>
        </w:rPr>
        <w:t>混合型</w:t>
      </w:r>
      <w:r w:rsidRPr="00034CBC">
        <w:rPr>
          <w:rFonts w:asciiTheme="minorHAnsi" w:eastAsiaTheme="minorEastAsia" w:hAnsiTheme="minorHAnsi" w:cstheme="minorBidi" w:hint="eastAsia"/>
          <w:b/>
          <w:color w:val="000000" w:themeColor="text1"/>
          <w:kern w:val="2"/>
          <w:sz w:val="36"/>
          <w:szCs w:val="36"/>
          <w:lang w:eastAsia="zh-CN"/>
        </w:rPr>
        <w:t>证券投资基金</w:t>
      </w:r>
    </w:p>
    <w:p w:rsidR="00F357C4" w:rsidRPr="00034CBC" w:rsidRDefault="00163C22" w:rsidP="00F16FC2">
      <w:pPr>
        <w:autoSpaceDE/>
        <w:autoSpaceDN/>
        <w:spacing w:beforeLines="50"/>
        <w:ind w:rightChars="-15" w:right="-33"/>
        <w:jc w:val="center"/>
        <w:rPr>
          <w:rFonts w:asciiTheme="minorHAnsi" w:eastAsiaTheme="minorEastAsia" w:hAnsiTheme="minorHAnsi" w:cstheme="minorBidi"/>
          <w:b/>
          <w:color w:val="000000" w:themeColor="text1"/>
          <w:kern w:val="2"/>
          <w:sz w:val="36"/>
          <w:szCs w:val="36"/>
          <w:lang w:eastAsia="zh-CN"/>
        </w:rPr>
      </w:pPr>
      <w:r w:rsidRPr="00034CBC">
        <w:rPr>
          <w:rFonts w:asciiTheme="minorHAnsi" w:eastAsiaTheme="minorEastAsia" w:hAnsiTheme="minorHAnsi" w:cstheme="minorBidi" w:hint="eastAsia"/>
          <w:b/>
          <w:color w:val="000000" w:themeColor="text1"/>
          <w:kern w:val="2"/>
          <w:sz w:val="36"/>
          <w:szCs w:val="36"/>
          <w:lang w:eastAsia="zh-CN"/>
        </w:rPr>
        <w:t>恢复</w:t>
      </w:r>
      <w:r w:rsidR="00D95DEA" w:rsidRPr="00034CBC">
        <w:rPr>
          <w:rFonts w:asciiTheme="minorHAnsi" w:eastAsiaTheme="minorEastAsia" w:hAnsiTheme="minorHAnsi" w:cstheme="minorBidi" w:hint="eastAsia"/>
          <w:b/>
          <w:color w:val="000000" w:themeColor="text1"/>
          <w:kern w:val="2"/>
          <w:sz w:val="36"/>
          <w:szCs w:val="36"/>
          <w:lang w:eastAsia="zh-CN"/>
        </w:rPr>
        <w:t>大额申购、</w:t>
      </w:r>
      <w:r w:rsidR="006F56D3" w:rsidRPr="00034CBC">
        <w:rPr>
          <w:rFonts w:asciiTheme="minorHAnsi" w:eastAsiaTheme="minorEastAsia" w:hAnsiTheme="minorHAnsi" w:cstheme="minorBidi" w:hint="eastAsia"/>
          <w:b/>
          <w:color w:val="000000" w:themeColor="text1"/>
          <w:kern w:val="2"/>
          <w:sz w:val="36"/>
          <w:szCs w:val="36"/>
          <w:lang w:eastAsia="zh-CN"/>
        </w:rPr>
        <w:t>转换转入、定期定额投资</w:t>
      </w:r>
      <w:r w:rsidR="00D95DEA" w:rsidRPr="00034CBC">
        <w:rPr>
          <w:rFonts w:asciiTheme="minorHAnsi" w:eastAsiaTheme="minorEastAsia" w:hAnsiTheme="minorHAnsi" w:cstheme="minorBidi" w:hint="eastAsia"/>
          <w:b/>
          <w:color w:val="000000" w:themeColor="text1"/>
          <w:kern w:val="2"/>
          <w:sz w:val="36"/>
          <w:szCs w:val="36"/>
          <w:lang w:eastAsia="zh-CN"/>
        </w:rPr>
        <w:t>业务的公告</w:t>
      </w:r>
    </w:p>
    <w:p w:rsidR="00F357C4" w:rsidRPr="006F56D3" w:rsidRDefault="00D95DEA" w:rsidP="00034CBC">
      <w:pPr>
        <w:pStyle w:val="2"/>
        <w:spacing w:before="120"/>
        <w:ind w:left="329" w:right="448" w:firstLine="0"/>
        <w:jc w:val="center"/>
        <w:rPr>
          <w:rFonts w:asciiTheme="minorEastAsia" w:eastAsiaTheme="minorEastAsia" w:hAnsiTheme="minorEastAsia" w:cs="宋体"/>
          <w:w w:val="95"/>
        </w:rPr>
      </w:pPr>
      <w:r w:rsidRPr="006F56D3">
        <w:rPr>
          <w:rFonts w:asciiTheme="minorEastAsia" w:eastAsiaTheme="minorEastAsia" w:hAnsiTheme="minorEastAsia" w:cs="宋体"/>
          <w:w w:val="95"/>
        </w:rPr>
        <w:t>公告送出日期：</w:t>
      </w:r>
      <w:r w:rsidR="00163C22" w:rsidRPr="006F56D3">
        <w:rPr>
          <w:rFonts w:asciiTheme="minorEastAsia" w:eastAsiaTheme="minorEastAsia" w:hAnsiTheme="minorEastAsia" w:cs="宋体"/>
          <w:w w:val="95"/>
        </w:rPr>
        <w:t>2023</w:t>
      </w:r>
      <w:r w:rsidRPr="006F56D3">
        <w:rPr>
          <w:rFonts w:asciiTheme="minorEastAsia" w:eastAsiaTheme="minorEastAsia" w:hAnsiTheme="minorEastAsia" w:cs="宋体"/>
          <w:w w:val="95"/>
        </w:rPr>
        <w:t>年</w:t>
      </w:r>
      <w:r w:rsidR="00422173">
        <w:rPr>
          <w:rFonts w:asciiTheme="minorEastAsia" w:eastAsiaTheme="minorEastAsia" w:hAnsiTheme="minorEastAsia" w:cs="宋体"/>
          <w:w w:val="95"/>
        </w:rPr>
        <w:t>12</w:t>
      </w:r>
      <w:r w:rsidRPr="006F56D3">
        <w:rPr>
          <w:rFonts w:asciiTheme="minorEastAsia" w:eastAsiaTheme="minorEastAsia" w:hAnsiTheme="minorEastAsia" w:cs="宋体"/>
          <w:w w:val="95"/>
        </w:rPr>
        <w:t>月</w:t>
      </w:r>
      <w:r w:rsidR="00422173">
        <w:rPr>
          <w:rFonts w:asciiTheme="minorEastAsia" w:eastAsiaTheme="minorEastAsia" w:hAnsiTheme="minorEastAsia" w:cs="宋体"/>
          <w:w w:val="95"/>
        </w:rPr>
        <w:t>23</w:t>
      </w:r>
      <w:r w:rsidRPr="006F56D3">
        <w:rPr>
          <w:rFonts w:asciiTheme="minorEastAsia" w:eastAsiaTheme="minorEastAsia" w:hAnsiTheme="minorEastAsia" w:cs="宋体"/>
          <w:w w:val="95"/>
        </w:rPr>
        <w:t>日</w:t>
      </w:r>
    </w:p>
    <w:p w:rsidR="00F357C4" w:rsidRPr="006F56D3" w:rsidRDefault="00F357C4">
      <w:pPr>
        <w:pStyle w:val="a3"/>
        <w:spacing w:before="16"/>
        <w:rPr>
          <w:rFonts w:asciiTheme="minorEastAsia" w:eastAsiaTheme="minorEastAsia" w:hAnsiTheme="minorEastAsia"/>
          <w:b/>
          <w:sz w:val="19"/>
        </w:rPr>
      </w:pPr>
    </w:p>
    <w:p w:rsidR="00446A82" w:rsidRDefault="00446A82" w:rsidP="00446A82">
      <w:pPr>
        <w:spacing w:before="176"/>
        <w:ind w:left="132"/>
        <w:rPr>
          <w:b/>
          <w:sz w:val="24"/>
        </w:rPr>
      </w:pPr>
      <w:r>
        <w:rPr>
          <w:rFonts w:ascii="Times New Roman" w:eastAsia="Times New Roman"/>
          <w:b/>
          <w:sz w:val="24"/>
        </w:rPr>
        <w:t>1</w:t>
      </w:r>
      <w:r>
        <w:rPr>
          <w:b/>
          <w:sz w:val="24"/>
        </w:rPr>
        <w:t>、 公告基本信息</w:t>
      </w:r>
    </w:p>
    <w:p w:rsidR="00F357C4" w:rsidRPr="006F56D3" w:rsidRDefault="00F357C4">
      <w:pPr>
        <w:pStyle w:val="a3"/>
        <w:spacing w:before="1"/>
        <w:rPr>
          <w:rFonts w:asciiTheme="minorEastAsia" w:eastAsiaTheme="minorEastAsia" w:hAnsiTheme="minorEastAsia"/>
          <w:b/>
          <w:sz w:val="4"/>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314"/>
        <w:gridCol w:w="2321"/>
        <w:gridCol w:w="2715"/>
      </w:tblGrid>
      <w:tr w:rsidR="00F357C4" w:rsidRPr="006F56D3" w:rsidTr="007255F3">
        <w:trPr>
          <w:trHeight w:hRule="exact" w:val="423"/>
        </w:trPr>
        <w:tc>
          <w:tcPr>
            <w:tcW w:w="1984" w:type="pct"/>
            <w:vAlign w:val="center"/>
          </w:tcPr>
          <w:p w:rsidR="00F357C4" w:rsidRPr="006F56D3" w:rsidRDefault="00D95DEA" w:rsidP="00471850">
            <w:pPr>
              <w:pStyle w:val="TableParagraph"/>
              <w:spacing w:line="305" w:lineRule="exact"/>
              <w:jc w:val="both"/>
              <w:rPr>
                <w:rFonts w:asciiTheme="minorEastAsia" w:eastAsiaTheme="minorEastAsia" w:hAnsiTheme="minorEastAsia"/>
                <w:sz w:val="24"/>
              </w:rPr>
            </w:pPr>
            <w:r w:rsidRPr="006F56D3">
              <w:rPr>
                <w:rFonts w:asciiTheme="minorEastAsia" w:eastAsiaTheme="minorEastAsia" w:hAnsiTheme="minorEastAsia"/>
                <w:sz w:val="24"/>
              </w:rPr>
              <w:t>基金名称</w:t>
            </w:r>
          </w:p>
        </w:tc>
        <w:tc>
          <w:tcPr>
            <w:tcW w:w="3016" w:type="pct"/>
            <w:gridSpan w:val="2"/>
            <w:vAlign w:val="center"/>
          </w:tcPr>
          <w:p w:rsidR="00F357C4" w:rsidRPr="006F56D3" w:rsidRDefault="00D95DEA" w:rsidP="00471850">
            <w:pPr>
              <w:pStyle w:val="TableParagraph"/>
              <w:spacing w:line="305" w:lineRule="exact"/>
              <w:ind w:left="110"/>
              <w:jc w:val="both"/>
              <w:rPr>
                <w:rFonts w:asciiTheme="minorEastAsia" w:eastAsiaTheme="minorEastAsia" w:hAnsiTheme="minorEastAsia"/>
                <w:sz w:val="24"/>
                <w:lang w:eastAsia="zh-CN"/>
              </w:rPr>
            </w:pPr>
            <w:r w:rsidRPr="006F56D3">
              <w:rPr>
                <w:rFonts w:asciiTheme="minorEastAsia" w:eastAsiaTheme="minorEastAsia" w:hAnsiTheme="minorEastAsia"/>
                <w:sz w:val="24"/>
                <w:lang w:eastAsia="zh-CN"/>
              </w:rPr>
              <w:t>泓德</w:t>
            </w:r>
            <w:r w:rsidR="00422173">
              <w:rPr>
                <w:rFonts w:asciiTheme="minorEastAsia" w:eastAsiaTheme="minorEastAsia" w:hAnsiTheme="minorEastAsia" w:hint="eastAsia"/>
                <w:sz w:val="24"/>
                <w:lang w:eastAsia="zh-CN"/>
              </w:rPr>
              <w:t>研究优选</w:t>
            </w:r>
            <w:r w:rsidR="00E21687" w:rsidRPr="00E21687">
              <w:rPr>
                <w:rFonts w:asciiTheme="minorEastAsia" w:eastAsiaTheme="minorEastAsia" w:hAnsiTheme="minorEastAsia" w:hint="eastAsia"/>
                <w:sz w:val="24"/>
                <w:lang w:eastAsia="zh-CN"/>
              </w:rPr>
              <w:t>混合型</w:t>
            </w:r>
            <w:r w:rsidRPr="006F56D3">
              <w:rPr>
                <w:rFonts w:asciiTheme="minorEastAsia" w:eastAsiaTheme="minorEastAsia" w:hAnsiTheme="minorEastAsia"/>
                <w:sz w:val="24"/>
                <w:lang w:eastAsia="zh-CN"/>
              </w:rPr>
              <w:t>证券投资基金</w:t>
            </w:r>
          </w:p>
        </w:tc>
      </w:tr>
      <w:tr w:rsidR="00422173" w:rsidRPr="006F56D3" w:rsidTr="007255F3">
        <w:trPr>
          <w:trHeight w:hRule="exact" w:val="425"/>
        </w:trPr>
        <w:tc>
          <w:tcPr>
            <w:tcW w:w="1984" w:type="pct"/>
            <w:vAlign w:val="center"/>
          </w:tcPr>
          <w:p w:rsidR="00422173" w:rsidRPr="006F56D3" w:rsidRDefault="00422173" w:rsidP="00422173">
            <w:pPr>
              <w:pStyle w:val="TableParagraph"/>
              <w:spacing w:line="307" w:lineRule="exact"/>
              <w:jc w:val="both"/>
              <w:rPr>
                <w:rFonts w:asciiTheme="minorEastAsia" w:eastAsiaTheme="minorEastAsia" w:hAnsiTheme="minorEastAsia"/>
                <w:sz w:val="24"/>
              </w:rPr>
            </w:pPr>
            <w:r w:rsidRPr="006F56D3">
              <w:rPr>
                <w:rFonts w:asciiTheme="minorEastAsia" w:eastAsiaTheme="minorEastAsia" w:hAnsiTheme="minorEastAsia"/>
                <w:sz w:val="24"/>
              </w:rPr>
              <w:t>基金简称</w:t>
            </w:r>
          </w:p>
        </w:tc>
        <w:tc>
          <w:tcPr>
            <w:tcW w:w="3016" w:type="pct"/>
            <w:gridSpan w:val="2"/>
            <w:vAlign w:val="center"/>
          </w:tcPr>
          <w:p w:rsidR="00422173" w:rsidRPr="006F56D3" w:rsidRDefault="00422173" w:rsidP="00422173">
            <w:pPr>
              <w:pStyle w:val="TableParagraph"/>
              <w:spacing w:line="307" w:lineRule="exact"/>
              <w:ind w:left="110"/>
              <w:jc w:val="both"/>
              <w:rPr>
                <w:rFonts w:asciiTheme="minorEastAsia" w:eastAsiaTheme="minorEastAsia" w:hAnsiTheme="minorEastAsia"/>
                <w:sz w:val="24"/>
              </w:rPr>
            </w:pPr>
            <w:r w:rsidRPr="007841C1">
              <w:rPr>
                <w:rFonts w:ascii="Times New Roman" w:hAnsi="Times New Roman" w:hint="eastAsia"/>
                <w:color w:val="000000"/>
                <w:sz w:val="24"/>
                <w:szCs w:val="24"/>
              </w:rPr>
              <w:t>泓德</w:t>
            </w:r>
            <w:r>
              <w:rPr>
                <w:rFonts w:ascii="Times New Roman" w:hAnsi="Times New Roman" w:hint="eastAsia"/>
                <w:color w:val="000000"/>
                <w:sz w:val="24"/>
                <w:szCs w:val="24"/>
              </w:rPr>
              <w:t>研究优选</w:t>
            </w:r>
            <w:r w:rsidRPr="007841C1">
              <w:rPr>
                <w:rFonts w:ascii="Times New Roman" w:hAnsi="Times New Roman" w:hint="eastAsia"/>
                <w:color w:val="000000"/>
                <w:sz w:val="24"/>
                <w:szCs w:val="24"/>
              </w:rPr>
              <w:t>混合</w:t>
            </w:r>
          </w:p>
        </w:tc>
      </w:tr>
      <w:tr w:rsidR="00422173" w:rsidRPr="006F56D3" w:rsidTr="007255F3">
        <w:trPr>
          <w:trHeight w:hRule="exact" w:val="422"/>
        </w:trPr>
        <w:tc>
          <w:tcPr>
            <w:tcW w:w="1984" w:type="pct"/>
            <w:vAlign w:val="center"/>
          </w:tcPr>
          <w:p w:rsidR="00422173" w:rsidRPr="006F56D3" w:rsidRDefault="00422173" w:rsidP="00422173">
            <w:pPr>
              <w:pStyle w:val="TableParagraph"/>
              <w:spacing w:line="305" w:lineRule="exact"/>
              <w:jc w:val="both"/>
              <w:rPr>
                <w:rFonts w:asciiTheme="minorEastAsia" w:eastAsiaTheme="minorEastAsia" w:hAnsiTheme="minorEastAsia"/>
                <w:sz w:val="24"/>
              </w:rPr>
            </w:pPr>
            <w:r w:rsidRPr="006F56D3">
              <w:rPr>
                <w:rFonts w:asciiTheme="minorEastAsia" w:eastAsiaTheme="minorEastAsia" w:hAnsiTheme="minorEastAsia"/>
                <w:sz w:val="24"/>
              </w:rPr>
              <w:t>基金主代码</w:t>
            </w:r>
          </w:p>
        </w:tc>
        <w:tc>
          <w:tcPr>
            <w:tcW w:w="3016" w:type="pct"/>
            <w:gridSpan w:val="2"/>
            <w:vAlign w:val="center"/>
          </w:tcPr>
          <w:p w:rsidR="00422173" w:rsidRPr="006F56D3" w:rsidRDefault="00422173" w:rsidP="00422173">
            <w:pPr>
              <w:pStyle w:val="TableParagraph"/>
              <w:spacing w:before="44"/>
              <w:ind w:left="110"/>
              <w:jc w:val="both"/>
              <w:rPr>
                <w:rFonts w:asciiTheme="minorEastAsia" w:eastAsiaTheme="minorEastAsia" w:hAnsiTheme="minorEastAsia"/>
                <w:sz w:val="24"/>
              </w:rPr>
            </w:pPr>
            <w:r w:rsidRPr="00B10DD6">
              <w:rPr>
                <w:rFonts w:ascii="Times New Roman" w:hAnsi="Times New Roman"/>
                <w:color w:val="000000"/>
                <w:sz w:val="24"/>
                <w:szCs w:val="24"/>
              </w:rPr>
              <w:t>006608</w:t>
            </w:r>
          </w:p>
        </w:tc>
      </w:tr>
      <w:tr w:rsidR="00F357C4" w:rsidRPr="006F56D3" w:rsidTr="007255F3">
        <w:trPr>
          <w:trHeight w:hRule="exact" w:val="425"/>
        </w:trPr>
        <w:tc>
          <w:tcPr>
            <w:tcW w:w="1984" w:type="pct"/>
            <w:vAlign w:val="center"/>
          </w:tcPr>
          <w:p w:rsidR="00F357C4" w:rsidRPr="006F56D3" w:rsidRDefault="00D95DEA" w:rsidP="00471850">
            <w:pPr>
              <w:pStyle w:val="TableParagraph"/>
              <w:spacing w:line="307" w:lineRule="exact"/>
              <w:jc w:val="both"/>
              <w:rPr>
                <w:rFonts w:asciiTheme="minorEastAsia" w:eastAsiaTheme="minorEastAsia" w:hAnsiTheme="minorEastAsia"/>
                <w:sz w:val="24"/>
              </w:rPr>
            </w:pPr>
            <w:r w:rsidRPr="006F56D3">
              <w:rPr>
                <w:rFonts w:asciiTheme="minorEastAsia" w:eastAsiaTheme="minorEastAsia" w:hAnsiTheme="minorEastAsia"/>
                <w:sz w:val="24"/>
              </w:rPr>
              <w:t>基金管理人名称</w:t>
            </w:r>
          </w:p>
        </w:tc>
        <w:tc>
          <w:tcPr>
            <w:tcW w:w="3016" w:type="pct"/>
            <w:gridSpan w:val="2"/>
            <w:vAlign w:val="center"/>
          </w:tcPr>
          <w:p w:rsidR="00F357C4" w:rsidRPr="006F56D3" w:rsidRDefault="00D95DEA" w:rsidP="00471850">
            <w:pPr>
              <w:pStyle w:val="TableParagraph"/>
              <w:spacing w:line="307" w:lineRule="exact"/>
              <w:ind w:left="110"/>
              <w:jc w:val="both"/>
              <w:rPr>
                <w:rFonts w:asciiTheme="minorEastAsia" w:eastAsiaTheme="minorEastAsia" w:hAnsiTheme="minorEastAsia"/>
                <w:sz w:val="24"/>
              </w:rPr>
            </w:pPr>
            <w:r w:rsidRPr="006F56D3">
              <w:rPr>
                <w:rFonts w:asciiTheme="minorEastAsia" w:eastAsiaTheme="minorEastAsia" w:hAnsiTheme="minorEastAsia"/>
                <w:sz w:val="24"/>
              </w:rPr>
              <w:t>泓德基金管理有限公司</w:t>
            </w:r>
          </w:p>
        </w:tc>
      </w:tr>
      <w:tr w:rsidR="00F357C4" w:rsidRPr="006F56D3" w:rsidTr="007255F3">
        <w:trPr>
          <w:trHeight w:hRule="exact" w:val="1543"/>
        </w:trPr>
        <w:tc>
          <w:tcPr>
            <w:tcW w:w="1984" w:type="pct"/>
            <w:vAlign w:val="center"/>
          </w:tcPr>
          <w:p w:rsidR="00F357C4" w:rsidRPr="006F56D3" w:rsidRDefault="00D95DEA" w:rsidP="00471850">
            <w:pPr>
              <w:pStyle w:val="TableParagraph"/>
              <w:jc w:val="both"/>
              <w:rPr>
                <w:rFonts w:asciiTheme="minorEastAsia" w:eastAsiaTheme="minorEastAsia" w:hAnsiTheme="minorEastAsia"/>
                <w:sz w:val="24"/>
              </w:rPr>
            </w:pPr>
            <w:r w:rsidRPr="006F56D3">
              <w:rPr>
                <w:rFonts w:asciiTheme="minorEastAsia" w:eastAsiaTheme="minorEastAsia" w:hAnsiTheme="minorEastAsia"/>
                <w:sz w:val="24"/>
              </w:rPr>
              <w:t>公告依据</w:t>
            </w:r>
          </w:p>
        </w:tc>
        <w:tc>
          <w:tcPr>
            <w:tcW w:w="3016" w:type="pct"/>
            <w:gridSpan w:val="2"/>
            <w:vAlign w:val="center"/>
          </w:tcPr>
          <w:p w:rsidR="00F357C4" w:rsidRPr="006F56D3" w:rsidRDefault="006C204B" w:rsidP="00471850">
            <w:pPr>
              <w:pStyle w:val="TableParagraph"/>
              <w:spacing w:before="58" w:line="285" w:lineRule="auto"/>
              <w:ind w:left="110" w:right="98"/>
              <w:jc w:val="both"/>
              <w:rPr>
                <w:rFonts w:asciiTheme="minorEastAsia" w:eastAsiaTheme="minorEastAsia" w:hAnsiTheme="minorEastAsia"/>
                <w:sz w:val="24"/>
                <w:lang w:eastAsia="zh-CN"/>
              </w:rPr>
            </w:pPr>
            <w:r w:rsidRPr="006C204B">
              <w:rPr>
                <w:rFonts w:asciiTheme="minorEastAsia" w:eastAsiaTheme="minorEastAsia" w:hAnsiTheme="minorEastAsia" w:hint="eastAsia"/>
                <w:sz w:val="24"/>
                <w:lang w:eastAsia="zh-CN"/>
              </w:rPr>
              <w:t>《公开募集证券投资基金信息披露管理办法》</w:t>
            </w:r>
            <w:r w:rsidR="00FA46E8" w:rsidRPr="006F56D3">
              <w:rPr>
                <w:rFonts w:asciiTheme="minorEastAsia" w:eastAsiaTheme="minorEastAsia" w:hAnsiTheme="minorEastAsia"/>
                <w:sz w:val="24"/>
                <w:lang w:eastAsia="zh-CN"/>
              </w:rPr>
              <w:t>、</w:t>
            </w:r>
            <w:r w:rsidR="00FA46E8" w:rsidRPr="00DE7F58">
              <w:rPr>
                <w:rFonts w:asciiTheme="minorEastAsia" w:eastAsiaTheme="minorEastAsia" w:hAnsiTheme="minorEastAsia"/>
                <w:sz w:val="24"/>
                <w:lang w:eastAsia="zh-CN"/>
              </w:rPr>
              <w:t>《泓德</w:t>
            </w:r>
            <w:r w:rsidR="00422173">
              <w:rPr>
                <w:rFonts w:asciiTheme="minorEastAsia" w:eastAsiaTheme="minorEastAsia" w:hAnsiTheme="minorEastAsia" w:hint="eastAsia"/>
                <w:sz w:val="24"/>
                <w:lang w:eastAsia="zh-CN"/>
              </w:rPr>
              <w:t>研究优选</w:t>
            </w:r>
            <w:r w:rsidR="00E21687" w:rsidRPr="00E21687">
              <w:rPr>
                <w:rFonts w:asciiTheme="minorEastAsia" w:eastAsiaTheme="minorEastAsia" w:hAnsiTheme="minorEastAsia" w:hint="eastAsia"/>
                <w:sz w:val="24"/>
                <w:lang w:eastAsia="zh-CN"/>
              </w:rPr>
              <w:t>混合型</w:t>
            </w:r>
            <w:r w:rsidR="00FA46E8" w:rsidRPr="00DE7F58">
              <w:rPr>
                <w:rFonts w:asciiTheme="minorEastAsia" w:eastAsiaTheme="minorEastAsia" w:hAnsiTheme="minorEastAsia"/>
                <w:sz w:val="24"/>
                <w:lang w:eastAsia="zh-CN"/>
              </w:rPr>
              <w:t>证券投资基金基金合同》、《泓德</w:t>
            </w:r>
            <w:r w:rsidR="00422173">
              <w:rPr>
                <w:rFonts w:asciiTheme="minorEastAsia" w:eastAsiaTheme="minorEastAsia" w:hAnsiTheme="minorEastAsia" w:hint="eastAsia"/>
                <w:sz w:val="24"/>
                <w:lang w:eastAsia="zh-CN"/>
              </w:rPr>
              <w:t>研究优选</w:t>
            </w:r>
            <w:r w:rsidR="00E21687" w:rsidRPr="00E21687">
              <w:rPr>
                <w:rFonts w:asciiTheme="minorEastAsia" w:eastAsiaTheme="minorEastAsia" w:hAnsiTheme="minorEastAsia" w:hint="eastAsia"/>
                <w:sz w:val="24"/>
                <w:lang w:eastAsia="zh-CN"/>
              </w:rPr>
              <w:t>混合型</w:t>
            </w:r>
            <w:r w:rsidR="00FA46E8" w:rsidRPr="00DE7F58">
              <w:rPr>
                <w:rFonts w:asciiTheme="minorEastAsia" w:eastAsiaTheme="minorEastAsia" w:hAnsiTheme="minorEastAsia"/>
                <w:sz w:val="24"/>
                <w:lang w:eastAsia="zh-CN"/>
              </w:rPr>
              <w:t>证券投资基金招募说明书》等相关</w:t>
            </w:r>
            <w:r>
              <w:rPr>
                <w:rFonts w:asciiTheme="minorEastAsia" w:eastAsiaTheme="minorEastAsia" w:hAnsiTheme="minorEastAsia" w:hint="eastAsia"/>
                <w:sz w:val="24"/>
                <w:lang w:eastAsia="zh-CN"/>
              </w:rPr>
              <w:t>法律文件</w:t>
            </w:r>
          </w:p>
        </w:tc>
      </w:tr>
      <w:tr w:rsidR="00457E19" w:rsidRPr="006F56D3" w:rsidTr="007255F3">
        <w:trPr>
          <w:trHeight w:hRule="exact" w:val="425"/>
        </w:trPr>
        <w:tc>
          <w:tcPr>
            <w:tcW w:w="1984" w:type="pct"/>
            <w:vMerge w:val="restart"/>
            <w:tcBorders>
              <w:right w:val="single" w:sz="8" w:space="0" w:color="000000"/>
            </w:tcBorders>
            <w:vAlign w:val="center"/>
          </w:tcPr>
          <w:p w:rsidR="00457E19" w:rsidRPr="006F56D3" w:rsidRDefault="006F56D3" w:rsidP="00471850">
            <w:pPr>
              <w:pStyle w:val="TableParagraph"/>
              <w:spacing w:before="60" w:line="285" w:lineRule="auto"/>
              <w:ind w:left="98" w:right="25"/>
              <w:jc w:val="both"/>
              <w:rPr>
                <w:rFonts w:asciiTheme="minorEastAsia" w:eastAsiaTheme="minorEastAsia" w:hAnsiTheme="minorEastAsia"/>
                <w:sz w:val="24"/>
                <w:lang w:eastAsia="zh-CN"/>
              </w:rPr>
            </w:pPr>
            <w:r>
              <w:rPr>
                <w:sz w:val="24"/>
                <w:lang w:eastAsia="zh-CN"/>
              </w:rPr>
              <w:t>恢复相关业务的日期及原因说明</w:t>
            </w:r>
          </w:p>
        </w:tc>
        <w:tc>
          <w:tcPr>
            <w:tcW w:w="1390" w:type="pct"/>
            <w:tcBorders>
              <w:left w:val="single" w:sz="8" w:space="0" w:color="000000"/>
            </w:tcBorders>
            <w:vAlign w:val="center"/>
          </w:tcPr>
          <w:p w:rsidR="00457E19" w:rsidRPr="006F56D3" w:rsidRDefault="00457E19" w:rsidP="00471850">
            <w:pPr>
              <w:pStyle w:val="TableParagraph"/>
              <w:spacing w:line="305" w:lineRule="exact"/>
              <w:jc w:val="both"/>
              <w:rPr>
                <w:rFonts w:asciiTheme="minorEastAsia" w:eastAsiaTheme="minorEastAsia" w:hAnsiTheme="minorEastAsia"/>
                <w:sz w:val="24"/>
              </w:rPr>
            </w:pPr>
            <w:r w:rsidRPr="006F56D3">
              <w:rPr>
                <w:rFonts w:asciiTheme="minorEastAsia" w:eastAsiaTheme="minorEastAsia" w:hAnsiTheme="minorEastAsia"/>
                <w:sz w:val="24"/>
              </w:rPr>
              <w:t>恢复大额申购日</w:t>
            </w:r>
          </w:p>
        </w:tc>
        <w:tc>
          <w:tcPr>
            <w:tcW w:w="1625" w:type="pct"/>
            <w:vAlign w:val="center"/>
          </w:tcPr>
          <w:p w:rsidR="00457E19" w:rsidRPr="006F56D3" w:rsidRDefault="003D5DE0" w:rsidP="00471850">
            <w:pPr>
              <w:pStyle w:val="TableParagraph"/>
              <w:spacing w:line="324" w:lineRule="exact"/>
              <w:jc w:val="both"/>
              <w:rPr>
                <w:rFonts w:asciiTheme="minorEastAsia" w:eastAsiaTheme="minorEastAsia" w:hAnsiTheme="minorEastAsia"/>
                <w:sz w:val="24"/>
              </w:rPr>
            </w:pPr>
            <w:r>
              <w:rPr>
                <w:rFonts w:asciiTheme="minorEastAsia" w:eastAsiaTheme="minorEastAsia" w:hAnsiTheme="minorEastAsia"/>
                <w:sz w:val="24"/>
              </w:rPr>
              <w:t>2023年</w:t>
            </w:r>
            <w:r w:rsidR="00422173">
              <w:rPr>
                <w:rFonts w:asciiTheme="minorEastAsia" w:eastAsiaTheme="minorEastAsia" w:hAnsiTheme="minorEastAsia"/>
                <w:sz w:val="24"/>
              </w:rPr>
              <w:t>12</w:t>
            </w:r>
            <w:r>
              <w:rPr>
                <w:rFonts w:asciiTheme="minorEastAsia" w:eastAsiaTheme="minorEastAsia" w:hAnsiTheme="minorEastAsia"/>
                <w:sz w:val="24"/>
              </w:rPr>
              <w:t>月</w:t>
            </w:r>
            <w:r w:rsidR="00422173">
              <w:rPr>
                <w:rFonts w:asciiTheme="minorEastAsia" w:eastAsiaTheme="minorEastAsia" w:hAnsiTheme="minorEastAsia"/>
                <w:sz w:val="24"/>
              </w:rPr>
              <w:t>25</w:t>
            </w:r>
            <w:r>
              <w:rPr>
                <w:rFonts w:asciiTheme="minorEastAsia" w:eastAsiaTheme="minorEastAsia" w:hAnsiTheme="minorEastAsia"/>
                <w:sz w:val="24"/>
              </w:rPr>
              <w:t>日</w:t>
            </w:r>
          </w:p>
        </w:tc>
      </w:tr>
      <w:tr w:rsidR="00457E19" w:rsidRPr="006F56D3" w:rsidTr="007255F3">
        <w:trPr>
          <w:trHeight w:hRule="exact" w:val="422"/>
        </w:trPr>
        <w:tc>
          <w:tcPr>
            <w:tcW w:w="1984" w:type="pct"/>
            <w:vMerge/>
            <w:tcBorders>
              <w:right w:val="single" w:sz="8" w:space="0" w:color="000000"/>
            </w:tcBorders>
            <w:vAlign w:val="center"/>
          </w:tcPr>
          <w:p w:rsidR="00457E19" w:rsidRPr="006F56D3" w:rsidRDefault="00457E19" w:rsidP="00471850">
            <w:pPr>
              <w:jc w:val="both"/>
              <w:rPr>
                <w:rFonts w:asciiTheme="minorEastAsia" w:eastAsiaTheme="minorEastAsia" w:hAnsiTheme="minorEastAsia"/>
              </w:rPr>
            </w:pPr>
          </w:p>
        </w:tc>
        <w:tc>
          <w:tcPr>
            <w:tcW w:w="1390" w:type="pct"/>
            <w:tcBorders>
              <w:left w:val="single" w:sz="8" w:space="0" w:color="000000"/>
            </w:tcBorders>
            <w:vAlign w:val="center"/>
          </w:tcPr>
          <w:p w:rsidR="00457E19" w:rsidRPr="006F56D3" w:rsidRDefault="00457E19" w:rsidP="00471850">
            <w:pPr>
              <w:pStyle w:val="TableParagraph"/>
              <w:spacing w:line="305" w:lineRule="exact"/>
              <w:jc w:val="both"/>
              <w:rPr>
                <w:rFonts w:asciiTheme="minorEastAsia" w:eastAsiaTheme="minorEastAsia" w:hAnsiTheme="minorEastAsia"/>
                <w:sz w:val="24"/>
              </w:rPr>
            </w:pPr>
            <w:r w:rsidRPr="006F56D3">
              <w:rPr>
                <w:rFonts w:asciiTheme="minorEastAsia" w:eastAsiaTheme="minorEastAsia" w:hAnsiTheme="minorEastAsia"/>
                <w:sz w:val="24"/>
              </w:rPr>
              <w:t>恢复大额转换转入日</w:t>
            </w:r>
          </w:p>
        </w:tc>
        <w:tc>
          <w:tcPr>
            <w:tcW w:w="1625" w:type="pct"/>
            <w:vAlign w:val="center"/>
          </w:tcPr>
          <w:p w:rsidR="00457E19" w:rsidRPr="006F56D3" w:rsidRDefault="003D5DE0" w:rsidP="00471850">
            <w:pPr>
              <w:pStyle w:val="TableParagraph"/>
              <w:spacing w:line="323" w:lineRule="exact"/>
              <w:jc w:val="both"/>
              <w:rPr>
                <w:rFonts w:asciiTheme="minorEastAsia" w:eastAsiaTheme="minorEastAsia" w:hAnsiTheme="minorEastAsia"/>
                <w:sz w:val="24"/>
              </w:rPr>
            </w:pPr>
            <w:r>
              <w:rPr>
                <w:rFonts w:asciiTheme="minorEastAsia" w:eastAsiaTheme="minorEastAsia" w:hAnsiTheme="minorEastAsia"/>
                <w:sz w:val="24"/>
              </w:rPr>
              <w:t>2023年</w:t>
            </w:r>
            <w:r w:rsidR="00422173">
              <w:rPr>
                <w:rFonts w:asciiTheme="minorEastAsia" w:eastAsiaTheme="minorEastAsia" w:hAnsiTheme="minorEastAsia"/>
                <w:sz w:val="24"/>
              </w:rPr>
              <w:t>12</w:t>
            </w:r>
            <w:r>
              <w:rPr>
                <w:rFonts w:asciiTheme="minorEastAsia" w:eastAsiaTheme="minorEastAsia" w:hAnsiTheme="minorEastAsia"/>
                <w:sz w:val="24"/>
              </w:rPr>
              <w:t>月</w:t>
            </w:r>
            <w:r w:rsidR="00422173">
              <w:rPr>
                <w:rFonts w:asciiTheme="minorEastAsia" w:eastAsiaTheme="minorEastAsia" w:hAnsiTheme="minorEastAsia"/>
                <w:sz w:val="24"/>
              </w:rPr>
              <w:t>25</w:t>
            </w:r>
            <w:r>
              <w:rPr>
                <w:rFonts w:asciiTheme="minorEastAsia" w:eastAsiaTheme="minorEastAsia" w:hAnsiTheme="minorEastAsia"/>
                <w:sz w:val="24"/>
              </w:rPr>
              <w:t>日</w:t>
            </w:r>
          </w:p>
        </w:tc>
      </w:tr>
      <w:tr w:rsidR="00457E19" w:rsidRPr="006F56D3" w:rsidTr="007255F3">
        <w:trPr>
          <w:trHeight w:hRule="exact" w:val="739"/>
        </w:trPr>
        <w:tc>
          <w:tcPr>
            <w:tcW w:w="1984" w:type="pct"/>
            <w:vMerge/>
            <w:tcBorders>
              <w:right w:val="single" w:sz="8" w:space="0" w:color="000000"/>
            </w:tcBorders>
            <w:vAlign w:val="center"/>
          </w:tcPr>
          <w:p w:rsidR="00457E19" w:rsidRPr="006F56D3" w:rsidRDefault="00457E19" w:rsidP="00471850">
            <w:pPr>
              <w:jc w:val="both"/>
              <w:rPr>
                <w:rFonts w:asciiTheme="minorEastAsia" w:eastAsiaTheme="minorEastAsia" w:hAnsiTheme="minorEastAsia"/>
              </w:rPr>
            </w:pPr>
          </w:p>
        </w:tc>
        <w:tc>
          <w:tcPr>
            <w:tcW w:w="1390" w:type="pct"/>
            <w:tcBorders>
              <w:left w:val="single" w:sz="8" w:space="0" w:color="000000"/>
            </w:tcBorders>
            <w:vAlign w:val="center"/>
          </w:tcPr>
          <w:p w:rsidR="00457E19" w:rsidRPr="006F56D3" w:rsidRDefault="00457E19" w:rsidP="00471850">
            <w:pPr>
              <w:pStyle w:val="TableParagraph"/>
              <w:spacing w:line="305" w:lineRule="exact"/>
              <w:jc w:val="both"/>
              <w:rPr>
                <w:rFonts w:asciiTheme="minorEastAsia" w:eastAsiaTheme="minorEastAsia" w:hAnsiTheme="minorEastAsia"/>
                <w:sz w:val="24"/>
                <w:lang w:eastAsia="zh-CN"/>
              </w:rPr>
            </w:pPr>
            <w:r w:rsidRPr="006F56D3">
              <w:rPr>
                <w:rFonts w:asciiTheme="minorEastAsia" w:eastAsiaTheme="minorEastAsia" w:hAnsiTheme="minorEastAsia"/>
                <w:sz w:val="24"/>
                <w:lang w:eastAsia="zh-CN"/>
              </w:rPr>
              <w:t>恢复大额定期定额投资日</w:t>
            </w:r>
          </w:p>
        </w:tc>
        <w:tc>
          <w:tcPr>
            <w:tcW w:w="1625" w:type="pct"/>
            <w:vAlign w:val="center"/>
          </w:tcPr>
          <w:p w:rsidR="00457E19" w:rsidRPr="006F56D3" w:rsidRDefault="003D5DE0" w:rsidP="00471850">
            <w:pPr>
              <w:pStyle w:val="TableParagraph"/>
              <w:spacing w:line="323" w:lineRule="exact"/>
              <w:jc w:val="both"/>
              <w:rPr>
                <w:rFonts w:asciiTheme="minorEastAsia" w:eastAsiaTheme="minorEastAsia" w:hAnsiTheme="minorEastAsia"/>
                <w:sz w:val="24"/>
              </w:rPr>
            </w:pPr>
            <w:r>
              <w:rPr>
                <w:rFonts w:asciiTheme="minorEastAsia" w:eastAsiaTheme="minorEastAsia" w:hAnsiTheme="minorEastAsia"/>
                <w:sz w:val="24"/>
              </w:rPr>
              <w:t>2023年</w:t>
            </w:r>
            <w:r w:rsidR="00422173">
              <w:rPr>
                <w:rFonts w:asciiTheme="minorEastAsia" w:eastAsiaTheme="minorEastAsia" w:hAnsiTheme="minorEastAsia"/>
                <w:sz w:val="24"/>
              </w:rPr>
              <w:t>12</w:t>
            </w:r>
            <w:r>
              <w:rPr>
                <w:rFonts w:asciiTheme="minorEastAsia" w:eastAsiaTheme="minorEastAsia" w:hAnsiTheme="minorEastAsia"/>
                <w:sz w:val="24"/>
              </w:rPr>
              <w:t>月</w:t>
            </w:r>
            <w:r w:rsidR="00422173">
              <w:rPr>
                <w:rFonts w:asciiTheme="minorEastAsia" w:eastAsiaTheme="minorEastAsia" w:hAnsiTheme="minorEastAsia"/>
                <w:sz w:val="24"/>
              </w:rPr>
              <w:t>25</w:t>
            </w:r>
            <w:r>
              <w:rPr>
                <w:rFonts w:asciiTheme="minorEastAsia" w:eastAsiaTheme="minorEastAsia" w:hAnsiTheme="minorEastAsia"/>
                <w:sz w:val="24"/>
              </w:rPr>
              <w:t>日</w:t>
            </w:r>
          </w:p>
        </w:tc>
      </w:tr>
      <w:tr w:rsidR="00F357C4" w:rsidRPr="006F56D3" w:rsidTr="007255F3">
        <w:trPr>
          <w:trHeight w:hRule="exact" w:val="1002"/>
        </w:trPr>
        <w:tc>
          <w:tcPr>
            <w:tcW w:w="1984" w:type="pct"/>
            <w:vMerge/>
            <w:tcBorders>
              <w:right w:val="single" w:sz="8" w:space="0" w:color="000000"/>
            </w:tcBorders>
            <w:vAlign w:val="center"/>
          </w:tcPr>
          <w:p w:rsidR="00F357C4" w:rsidRPr="006F56D3" w:rsidRDefault="00F357C4" w:rsidP="00471850">
            <w:pPr>
              <w:jc w:val="both"/>
              <w:rPr>
                <w:rFonts w:asciiTheme="minorEastAsia" w:eastAsiaTheme="minorEastAsia" w:hAnsiTheme="minorEastAsia"/>
              </w:rPr>
            </w:pPr>
          </w:p>
        </w:tc>
        <w:tc>
          <w:tcPr>
            <w:tcW w:w="1390" w:type="pct"/>
            <w:tcBorders>
              <w:left w:val="single" w:sz="8" w:space="0" w:color="000000"/>
            </w:tcBorders>
            <w:vAlign w:val="center"/>
          </w:tcPr>
          <w:p w:rsidR="00F357C4" w:rsidRPr="006F56D3" w:rsidRDefault="00163C22" w:rsidP="00A6195E">
            <w:pPr>
              <w:pStyle w:val="TableParagraph"/>
              <w:spacing w:line="305" w:lineRule="exact"/>
              <w:jc w:val="both"/>
              <w:rPr>
                <w:rFonts w:asciiTheme="minorEastAsia" w:eastAsiaTheme="minorEastAsia" w:hAnsiTheme="minorEastAsia"/>
                <w:sz w:val="24"/>
                <w:lang w:eastAsia="zh-CN"/>
              </w:rPr>
            </w:pPr>
            <w:r w:rsidRPr="006F56D3">
              <w:rPr>
                <w:rFonts w:asciiTheme="minorEastAsia" w:eastAsiaTheme="minorEastAsia" w:hAnsiTheme="minorEastAsia"/>
                <w:sz w:val="24"/>
                <w:lang w:eastAsia="zh-CN"/>
              </w:rPr>
              <w:t>恢复（大额）申购（转换转入、定期定额投资）的原因说明</w:t>
            </w:r>
          </w:p>
        </w:tc>
        <w:tc>
          <w:tcPr>
            <w:tcW w:w="1625" w:type="pct"/>
            <w:vAlign w:val="center"/>
          </w:tcPr>
          <w:p w:rsidR="00F357C4" w:rsidRPr="006F56D3" w:rsidRDefault="00457E19" w:rsidP="00471850">
            <w:pPr>
              <w:pStyle w:val="TableParagraph"/>
              <w:spacing w:line="283" w:lineRule="auto"/>
              <w:ind w:right="162"/>
              <w:jc w:val="both"/>
              <w:rPr>
                <w:rFonts w:asciiTheme="minorEastAsia" w:eastAsiaTheme="minorEastAsia" w:hAnsiTheme="minorEastAsia"/>
                <w:sz w:val="24"/>
                <w:lang w:eastAsia="zh-CN"/>
              </w:rPr>
            </w:pPr>
            <w:r w:rsidRPr="006F56D3">
              <w:rPr>
                <w:rFonts w:asciiTheme="minorEastAsia" w:eastAsiaTheme="minorEastAsia" w:hAnsiTheme="minorEastAsia"/>
                <w:sz w:val="24"/>
                <w:lang w:eastAsia="zh-CN"/>
              </w:rPr>
              <w:t>为满足投资者投资需求。</w:t>
            </w:r>
          </w:p>
        </w:tc>
      </w:tr>
    </w:tbl>
    <w:p w:rsidR="00F357C4" w:rsidRPr="006F56D3" w:rsidRDefault="00F357C4">
      <w:pPr>
        <w:pStyle w:val="a3"/>
        <w:spacing w:before="5"/>
        <w:rPr>
          <w:rFonts w:asciiTheme="minorEastAsia" w:eastAsiaTheme="minorEastAsia" w:hAnsiTheme="minorEastAsia"/>
          <w:sz w:val="34"/>
          <w:lang w:eastAsia="zh-CN"/>
        </w:rPr>
      </w:pPr>
    </w:p>
    <w:p w:rsidR="00446A82" w:rsidRDefault="00446A82" w:rsidP="007255F3">
      <w:pPr>
        <w:ind w:leftChars="-1" w:left="-2" w:firstLineChars="177" w:firstLine="426"/>
        <w:jc w:val="both"/>
        <w:rPr>
          <w:b/>
          <w:sz w:val="24"/>
          <w:lang w:eastAsia="zh-CN"/>
        </w:rPr>
      </w:pPr>
      <w:r>
        <w:rPr>
          <w:rFonts w:ascii="Times New Roman" w:eastAsia="Times New Roman"/>
          <w:b/>
          <w:sz w:val="24"/>
          <w:lang w:eastAsia="zh-CN"/>
        </w:rPr>
        <w:t>2</w:t>
      </w:r>
      <w:r>
        <w:rPr>
          <w:b/>
          <w:sz w:val="24"/>
          <w:lang w:eastAsia="zh-CN"/>
        </w:rPr>
        <w:t>、 其他需要提示的事项</w:t>
      </w:r>
    </w:p>
    <w:p w:rsidR="00DB0D09" w:rsidRPr="006F56D3" w:rsidRDefault="00DB0D09" w:rsidP="007255F3">
      <w:pPr>
        <w:pStyle w:val="a3"/>
        <w:spacing w:before="126" w:line="355" w:lineRule="auto"/>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（1）为满足广大投资者的投资需求，根据法律法规及本基金基金合同的相关规定，本公司决定自</w:t>
      </w:r>
      <w:r w:rsidR="00422173">
        <w:rPr>
          <w:rFonts w:asciiTheme="minorEastAsia" w:eastAsiaTheme="minorEastAsia" w:hAnsiTheme="minorEastAsia"/>
          <w:lang w:eastAsia="zh-CN"/>
        </w:rPr>
        <w:t>2023年12月25</w:t>
      </w:r>
      <w:r w:rsidR="003D5DE0">
        <w:rPr>
          <w:rFonts w:asciiTheme="minorEastAsia" w:eastAsiaTheme="minorEastAsia" w:hAnsiTheme="minorEastAsia"/>
          <w:lang w:eastAsia="zh-CN"/>
        </w:rPr>
        <w:t>日</w:t>
      </w:r>
      <w:r w:rsidRPr="006F56D3">
        <w:rPr>
          <w:rFonts w:asciiTheme="minorEastAsia" w:eastAsiaTheme="minorEastAsia" w:hAnsiTheme="minorEastAsia"/>
          <w:lang w:eastAsia="zh-CN"/>
        </w:rPr>
        <w:t>起恢复办理本基金的正常申购（含转换转入及定投）业务。</w:t>
      </w:r>
    </w:p>
    <w:p w:rsidR="00F357C4" w:rsidRPr="006F56D3" w:rsidRDefault="00DB0D09" w:rsidP="007255F3">
      <w:pPr>
        <w:pStyle w:val="a3"/>
        <w:spacing w:before="126" w:line="355" w:lineRule="auto"/>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（2）</w:t>
      </w:r>
      <w:r w:rsidR="006F33C3" w:rsidRPr="006F33C3">
        <w:rPr>
          <w:rFonts w:asciiTheme="minorEastAsia" w:eastAsiaTheme="minorEastAsia" w:hAnsiTheme="minorEastAsia" w:hint="eastAsia"/>
          <w:lang w:eastAsia="zh-CN"/>
        </w:rPr>
        <w:t>投资者可访问本基金管理人网站（</w:t>
      </w:r>
      <w:r w:rsidR="006F33C3" w:rsidRPr="006F33C3">
        <w:rPr>
          <w:rFonts w:asciiTheme="minorEastAsia" w:eastAsiaTheme="minorEastAsia" w:hAnsiTheme="minorEastAsia"/>
          <w:lang w:eastAsia="zh-CN"/>
        </w:rPr>
        <w:t>www.hongdefund.com）或拨打全国免长途话费的客户服务电话（4009-100-888）咨询相关情况</w:t>
      </w:r>
      <w:r w:rsidRPr="006F56D3">
        <w:rPr>
          <w:rFonts w:asciiTheme="minorEastAsia" w:eastAsiaTheme="minorEastAsia" w:hAnsiTheme="minorEastAsia"/>
          <w:lang w:eastAsia="zh-CN"/>
        </w:rPr>
        <w:t>。</w:t>
      </w:r>
    </w:p>
    <w:p w:rsidR="00F357C4" w:rsidRPr="006F56D3" w:rsidRDefault="00F357C4" w:rsidP="007255F3">
      <w:pPr>
        <w:pStyle w:val="a3"/>
        <w:spacing w:before="12"/>
        <w:ind w:leftChars="-1" w:left="-2" w:firstLineChars="177" w:firstLine="407"/>
        <w:jc w:val="both"/>
        <w:rPr>
          <w:rFonts w:asciiTheme="minorEastAsia" w:eastAsiaTheme="minorEastAsia" w:hAnsiTheme="minorEastAsia"/>
          <w:sz w:val="23"/>
        </w:rPr>
      </w:pPr>
    </w:p>
    <w:p w:rsidR="00F357C4" w:rsidRPr="006F56D3" w:rsidRDefault="00D95DEA" w:rsidP="007255F3">
      <w:pPr>
        <w:pStyle w:val="2"/>
        <w:ind w:leftChars="-1" w:left="-2" w:firstLineChars="177" w:firstLine="426"/>
        <w:jc w:val="both"/>
        <w:rPr>
          <w:rFonts w:asciiTheme="minorEastAsia" w:eastAsiaTheme="minorEastAsia" w:hAnsiTheme="minorEastAsia"/>
          <w:lang w:eastAsia="zh-CN"/>
        </w:rPr>
      </w:pPr>
      <w:r w:rsidRPr="006F56D3">
        <w:rPr>
          <w:rFonts w:asciiTheme="minorEastAsia" w:eastAsiaTheme="minorEastAsia" w:hAnsiTheme="minorEastAsia"/>
          <w:lang w:eastAsia="zh-CN"/>
        </w:rPr>
        <w:t>风险提示：</w:t>
      </w:r>
    </w:p>
    <w:p w:rsidR="00262503" w:rsidRPr="006F56D3" w:rsidRDefault="00262503" w:rsidP="007255F3">
      <w:pPr>
        <w:pStyle w:val="a3"/>
        <w:spacing w:before="182" w:line="357" w:lineRule="auto"/>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基金的过往业绩并不预示其未来表现，基金管理人管理的其他基金的业绩也不构成对本基金业绩表现的保证。</w:t>
      </w:r>
    </w:p>
    <w:p w:rsidR="00262503" w:rsidRPr="006F56D3" w:rsidRDefault="00262503" w:rsidP="007255F3">
      <w:pPr>
        <w:pStyle w:val="a3"/>
        <w:spacing w:before="62" w:line="357" w:lineRule="auto"/>
        <w:ind w:leftChars="-1" w:left="-2" w:firstLineChars="177" w:firstLine="407"/>
        <w:jc w:val="both"/>
        <w:rPr>
          <w:rFonts w:asciiTheme="minorEastAsia" w:eastAsiaTheme="minorEastAsia" w:hAnsiTheme="minorEastAsia"/>
          <w:lang w:eastAsia="zh-CN"/>
        </w:rPr>
      </w:pPr>
      <w:r w:rsidRPr="006F56D3">
        <w:rPr>
          <w:rFonts w:asciiTheme="minorEastAsia" w:eastAsiaTheme="minorEastAsia" w:hAnsiTheme="minorEastAsia"/>
          <w:spacing w:val="-10"/>
          <w:lang w:eastAsia="zh-CN"/>
        </w:rPr>
        <w:lastRenderedPageBreak/>
        <w:t>基金管理人承诺以诚实信用、勤勉尽责的原则管理和运用基金财产，但投资有风险， 基金管理人不保证基金一定盈利，也不保证最低收益。</w:t>
      </w:r>
    </w:p>
    <w:p w:rsidR="00262503" w:rsidRPr="006F56D3" w:rsidRDefault="00262503" w:rsidP="007255F3">
      <w:pPr>
        <w:pStyle w:val="a3"/>
        <w:spacing w:before="33" w:line="357" w:lineRule="auto"/>
        <w:ind w:leftChars="-1" w:left="-2" w:firstLineChars="177" w:firstLine="418"/>
        <w:jc w:val="both"/>
        <w:rPr>
          <w:rFonts w:asciiTheme="minorEastAsia" w:eastAsiaTheme="minorEastAsia" w:hAnsiTheme="minorEastAsia"/>
          <w:lang w:eastAsia="zh-CN"/>
        </w:rPr>
      </w:pPr>
      <w:r w:rsidRPr="006F56D3">
        <w:rPr>
          <w:rFonts w:asciiTheme="minorEastAsia" w:eastAsiaTheme="minorEastAsia" w:hAnsiTheme="minorEastAsia"/>
          <w:spacing w:val="-4"/>
          <w:lang w:eastAsia="zh-CN"/>
        </w:rPr>
        <w:t>投资有风险，敬请投资者认真阅读基金的相关法律文件并关注基金特有风险，如实</w:t>
      </w:r>
      <w:r w:rsidRPr="006F56D3">
        <w:rPr>
          <w:rFonts w:asciiTheme="minorEastAsia" w:eastAsiaTheme="minorEastAsia" w:hAnsiTheme="minorEastAsia"/>
          <w:spacing w:val="-6"/>
          <w:lang w:eastAsia="zh-CN"/>
        </w:rPr>
        <w:t>填写或更新个人信息并核对自身的风险承受能力，选择适合自身风险承受能力的投资品种进行投资。</w:t>
      </w:r>
    </w:p>
    <w:p w:rsidR="00262503" w:rsidRPr="006F56D3" w:rsidRDefault="00262503" w:rsidP="007255F3">
      <w:pPr>
        <w:pStyle w:val="a3"/>
        <w:spacing w:before="65" w:line="357" w:lineRule="auto"/>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基金定期定额投资并不等于零存整取等储蓄方式，不能规避基金投资所固有的风</w:t>
      </w:r>
      <w:r w:rsidRPr="006F56D3">
        <w:rPr>
          <w:rFonts w:asciiTheme="minorEastAsia" w:eastAsiaTheme="minorEastAsia" w:hAnsiTheme="minorEastAsia"/>
          <w:spacing w:val="-6"/>
          <w:lang w:eastAsia="zh-CN"/>
        </w:rPr>
        <w:t>险，也不能保证投资人获得收益。本基金管理人提醒投资者基金投资的“买者自负”原</w:t>
      </w:r>
      <w:r w:rsidRPr="006F56D3">
        <w:rPr>
          <w:rFonts w:asciiTheme="minorEastAsia" w:eastAsiaTheme="minorEastAsia" w:hAnsiTheme="minorEastAsia"/>
          <w:spacing w:val="-8"/>
          <w:lang w:eastAsia="zh-CN"/>
        </w:rPr>
        <w:t>则，在做出投资决策后，基金运营状况与基金净值变化引致的投资风险，由投资者自行承担。</w:t>
      </w:r>
    </w:p>
    <w:p w:rsidR="00262503" w:rsidRPr="006F56D3" w:rsidRDefault="00262503" w:rsidP="007255F3">
      <w:pPr>
        <w:pStyle w:val="a3"/>
        <w:spacing w:before="65"/>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投资有风险，选择须谨慎。</w:t>
      </w:r>
    </w:p>
    <w:p w:rsidR="00F357C4" w:rsidRPr="006F56D3" w:rsidRDefault="00D95DEA" w:rsidP="007255F3">
      <w:pPr>
        <w:pStyle w:val="a3"/>
        <w:spacing w:before="151"/>
        <w:ind w:leftChars="-1" w:left="-2" w:firstLineChars="177" w:firstLine="425"/>
        <w:jc w:val="both"/>
        <w:rPr>
          <w:rFonts w:asciiTheme="minorEastAsia" w:eastAsiaTheme="minorEastAsia" w:hAnsiTheme="minorEastAsia"/>
          <w:lang w:eastAsia="zh-CN"/>
        </w:rPr>
      </w:pPr>
      <w:r w:rsidRPr="006F56D3">
        <w:rPr>
          <w:rFonts w:asciiTheme="minorEastAsia" w:eastAsiaTheme="minorEastAsia" w:hAnsiTheme="minorEastAsia"/>
          <w:lang w:eastAsia="zh-CN"/>
        </w:rPr>
        <w:t xml:space="preserve"> </w:t>
      </w:r>
    </w:p>
    <w:p w:rsidR="00F357C4" w:rsidRPr="006F56D3" w:rsidRDefault="00D95DEA" w:rsidP="007255F3">
      <w:pPr>
        <w:pStyle w:val="a3"/>
        <w:spacing w:before="154"/>
        <w:ind w:leftChars="-1" w:left="-2" w:firstLineChars="177" w:firstLine="425"/>
        <w:jc w:val="both"/>
        <w:rPr>
          <w:rFonts w:asciiTheme="minorEastAsia" w:eastAsiaTheme="minorEastAsia" w:hAnsiTheme="minorEastAsia"/>
          <w:sz w:val="21"/>
        </w:rPr>
      </w:pPr>
      <w:r w:rsidRPr="006F56D3">
        <w:rPr>
          <w:rFonts w:asciiTheme="minorEastAsia" w:eastAsiaTheme="minorEastAsia" w:hAnsiTheme="minorEastAsia"/>
        </w:rPr>
        <w:t>特此公告。</w:t>
      </w:r>
      <w:r w:rsidRPr="006F56D3">
        <w:rPr>
          <w:rFonts w:asciiTheme="minorEastAsia" w:eastAsiaTheme="minorEastAsia" w:hAnsiTheme="minorEastAsia"/>
          <w:sz w:val="21"/>
        </w:rPr>
        <w:t xml:space="preserve"> </w:t>
      </w:r>
    </w:p>
    <w:p w:rsidR="00446A82" w:rsidRDefault="00D95DEA" w:rsidP="007255F3">
      <w:pPr>
        <w:pStyle w:val="a3"/>
        <w:spacing w:before="180" w:line="307" w:lineRule="auto"/>
        <w:ind w:left="7029" w:right="354" w:hanging="2067"/>
        <w:jc w:val="right"/>
        <w:rPr>
          <w:rFonts w:asciiTheme="minorEastAsia" w:eastAsiaTheme="minorEastAsia" w:hAnsiTheme="minorEastAsia"/>
          <w:lang w:eastAsia="zh-CN"/>
        </w:rPr>
      </w:pPr>
      <w:r w:rsidRPr="006F56D3">
        <w:rPr>
          <w:rFonts w:asciiTheme="minorEastAsia" w:eastAsiaTheme="minorEastAsia" w:hAnsiTheme="minorEastAsia"/>
        </w:rPr>
        <w:t>泓德基金管理有限</w:t>
      </w:r>
      <w:r w:rsidR="00446A82">
        <w:rPr>
          <w:rFonts w:asciiTheme="minorEastAsia" w:eastAsiaTheme="minorEastAsia" w:hAnsiTheme="minorEastAsia" w:hint="eastAsia"/>
          <w:lang w:eastAsia="zh-CN"/>
        </w:rPr>
        <w:t>公司</w:t>
      </w:r>
    </w:p>
    <w:p w:rsidR="00F357C4" w:rsidRPr="006F56D3" w:rsidRDefault="00D95DEA" w:rsidP="007255F3">
      <w:pPr>
        <w:pStyle w:val="a3"/>
        <w:spacing w:before="180" w:line="307" w:lineRule="auto"/>
        <w:ind w:left="7029" w:right="354" w:hanging="2067"/>
        <w:jc w:val="right"/>
        <w:rPr>
          <w:rFonts w:asciiTheme="minorEastAsia" w:eastAsiaTheme="minorEastAsia" w:hAnsiTheme="minorEastAsia"/>
        </w:rPr>
      </w:pPr>
      <w:r w:rsidRPr="006F56D3">
        <w:rPr>
          <w:rFonts w:asciiTheme="minorEastAsia" w:eastAsiaTheme="minorEastAsia" w:hAnsiTheme="minorEastAsia"/>
        </w:rPr>
        <w:t>二〇二</w:t>
      </w:r>
      <w:r w:rsidR="00446A82">
        <w:rPr>
          <w:rFonts w:asciiTheme="minorEastAsia" w:eastAsiaTheme="minorEastAsia" w:hAnsiTheme="minorEastAsia" w:hint="eastAsia"/>
          <w:lang w:eastAsia="zh-CN"/>
        </w:rPr>
        <w:t>三</w:t>
      </w:r>
      <w:r w:rsidRPr="006F56D3">
        <w:rPr>
          <w:rFonts w:asciiTheme="minorEastAsia" w:eastAsiaTheme="minorEastAsia" w:hAnsiTheme="minorEastAsia"/>
        </w:rPr>
        <w:t>年</w:t>
      </w:r>
      <w:r w:rsidR="00E21687">
        <w:rPr>
          <w:rFonts w:asciiTheme="minorEastAsia" w:eastAsiaTheme="minorEastAsia" w:hAnsiTheme="minorEastAsia" w:hint="eastAsia"/>
          <w:lang w:eastAsia="zh-CN"/>
        </w:rPr>
        <w:t>十</w:t>
      </w:r>
      <w:r w:rsidR="00422173">
        <w:rPr>
          <w:rFonts w:asciiTheme="minorEastAsia" w:eastAsiaTheme="minorEastAsia" w:hAnsiTheme="minorEastAsia" w:hint="eastAsia"/>
          <w:lang w:eastAsia="zh-CN"/>
        </w:rPr>
        <w:t>二</w:t>
      </w:r>
      <w:r w:rsidRPr="006F56D3">
        <w:rPr>
          <w:rFonts w:asciiTheme="minorEastAsia" w:eastAsiaTheme="minorEastAsia" w:hAnsiTheme="minorEastAsia"/>
        </w:rPr>
        <w:t>月</w:t>
      </w:r>
      <w:r w:rsidR="00422173">
        <w:rPr>
          <w:rFonts w:asciiTheme="minorEastAsia" w:eastAsiaTheme="minorEastAsia" w:hAnsiTheme="minorEastAsia" w:hint="eastAsia"/>
          <w:lang w:eastAsia="zh-CN"/>
        </w:rPr>
        <w:t>二十三</w:t>
      </w:r>
      <w:r w:rsidRPr="006F56D3">
        <w:rPr>
          <w:rFonts w:asciiTheme="minorEastAsia" w:eastAsiaTheme="minorEastAsia" w:hAnsiTheme="minorEastAsia"/>
        </w:rPr>
        <w:t>日</w:t>
      </w:r>
    </w:p>
    <w:sectPr w:rsidR="00F357C4" w:rsidRPr="006F56D3" w:rsidSect="007255F3">
      <w:pgSz w:w="11930" w:h="1687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FC" w:rsidRDefault="006266FC" w:rsidP="001A6CD5">
      <w:r>
        <w:separator/>
      </w:r>
    </w:p>
  </w:endnote>
  <w:endnote w:type="continuationSeparator" w:id="0">
    <w:p w:rsidR="006266FC" w:rsidRDefault="006266FC" w:rsidP="001A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FC" w:rsidRDefault="006266FC" w:rsidP="001A6CD5">
      <w:r>
        <w:separator/>
      </w:r>
    </w:p>
  </w:footnote>
  <w:footnote w:type="continuationSeparator" w:id="0">
    <w:p w:rsidR="006266FC" w:rsidRDefault="006266FC" w:rsidP="001A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4E7"/>
    <w:multiLevelType w:val="hybridMultilevel"/>
    <w:tmpl w:val="EAD0EBD4"/>
    <w:lvl w:ilvl="0" w:tplc="D0BA27EC">
      <w:start w:val="1"/>
      <w:numFmt w:val="decimal"/>
      <w:lvlText w:val="%1"/>
      <w:lvlJc w:val="left"/>
      <w:pPr>
        <w:ind w:left="375" w:hanging="240"/>
        <w:jc w:val="left"/>
      </w:pPr>
      <w:rPr>
        <w:rFonts w:ascii="Times New Roman" w:eastAsia="Times New Roman" w:hAnsi="Times New Roman" w:cs="Times New Roman" w:hint="default"/>
        <w:b/>
        <w:bCs/>
        <w:w w:val="100"/>
        <w:sz w:val="24"/>
        <w:szCs w:val="24"/>
      </w:rPr>
    </w:lvl>
    <w:lvl w:ilvl="1" w:tplc="EE909FF0">
      <w:numFmt w:val="bullet"/>
      <w:lvlText w:val="•"/>
      <w:lvlJc w:val="left"/>
      <w:pPr>
        <w:ind w:left="1274" w:hanging="240"/>
      </w:pPr>
      <w:rPr>
        <w:rFonts w:hint="default"/>
      </w:rPr>
    </w:lvl>
    <w:lvl w:ilvl="2" w:tplc="621AE05C">
      <w:numFmt w:val="bullet"/>
      <w:lvlText w:val="•"/>
      <w:lvlJc w:val="left"/>
      <w:pPr>
        <w:ind w:left="2169" w:hanging="240"/>
      </w:pPr>
      <w:rPr>
        <w:rFonts w:hint="default"/>
      </w:rPr>
    </w:lvl>
    <w:lvl w:ilvl="3" w:tplc="B3E6321E">
      <w:numFmt w:val="bullet"/>
      <w:lvlText w:val="•"/>
      <w:lvlJc w:val="left"/>
      <w:pPr>
        <w:ind w:left="3063" w:hanging="240"/>
      </w:pPr>
      <w:rPr>
        <w:rFonts w:hint="default"/>
      </w:rPr>
    </w:lvl>
    <w:lvl w:ilvl="4" w:tplc="0888C610">
      <w:numFmt w:val="bullet"/>
      <w:lvlText w:val="•"/>
      <w:lvlJc w:val="left"/>
      <w:pPr>
        <w:ind w:left="3958" w:hanging="240"/>
      </w:pPr>
      <w:rPr>
        <w:rFonts w:hint="default"/>
      </w:rPr>
    </w:lvl>
    <w:lvl w:ilvl="5" w:tplc="EA881DE4">
      <w:numFmt w:val="bullet"/>
      <w:lvlText w:val="•"/>
      <w:lvlJc w:val="left"/>
      <w:pPr>
        <w:ind w:left="4852" w:hanging="240"/>
      </w:pPr>
      <w:rPr>
        <w:rFonts w:hint="default"/>
      </w:rPr>
    </w:lvl>
    <w:lvl w:ilvl="6" w:tplc="19EE458E">
      <w:numFmt w:val="bullet"/>
      <w:lvlText w:val="•"/>
      <w:lvlJc w:val="left"/>
      <w:pPr>
        <w:ind w:left="5747" w:hanging="240"/>
      </w:pPr>
      <w:rPr>
        <w:rFonts w:hint="default"/>
      </w:rPr>
    </w:lvl>
    <w:lvl w:ilvl="7" w:tplc="A58ECF24">
      <w:numFmt w:val="bullet"/>
      <w:lvlText w:val="•"/>
      <w:lvlJc w:val="left"/>
      <w:pPr>
        <w:ind w:left="6641" w:hanging="240"/>
      </w:pPr>
      <w:rPr>
        <w:rFonts w:hint="default"/>
      </w:rPr>
    </w:lvl>
    <w:lvl w:ilvl="8" w:tplc="2A9AC728">
      <w:numFmt w:val="bullet"/>
      <w:lvlText w:val="•"/>
      <w:lvlJc w:val="left"/>
      <w:pPr>
        <w:ind w:left="7536"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F357C4"/>
    <w:rsid w:val="000137DE"/>
    <w:rsid w:val="00034CBC"/>
    <w:rsid w:val="00044511"/>
    <w:rsid w:val="001144E1"/>
    <w:rsid w:val="00163C22"/>
    <w:rsid w:val="00165554"/>
    <w:rsid w:val="001A6CD5"/>
    <w:rsid w:val="002525C5"/>
    <w:rsid w:val="00262503"/>
    <w:rsid w:val="00271AE0"/>
    <w:rsid w:val="002F6996"/>
    <w:rsid w:val="00317C3D"/>
    <w:rsid w:val="00363478"/>
    <w:rsid w:val="00385440"/>
    <w:rsid w:val="003C0961"/>
    <w:rsid w:val="003D5DE0"/>
    <w:rsid w:val="004064DA"/>
    <w:rsid w:val="00422173"/>
    <w:rsid w:val="00422987"/>
    <w:rsid w:val="00446A82"/>
    <w:rsid w:val="00457E19"/>
    <w:rsid w:val="00471850"/>
    <w:rsid w:val="00491076"/>
    <w:rsid w:val="005A698B"/>
    <w:rsid w:val="005C3264"/>
    <w:rsid w:val="005D75E9"/>
    <w:rsid w:val="005E42F4"/>
    <w:rsid w:val="005F276F"/>
    <w:rsid w:val="006170D7"/>
    <w:rsid w:val="006266FC"/>
    <w:rsid w:val="006B3CCA"/>
    <w:rsid w:val="006C204B"/>
    <w:rsid w:val="006F33C3"/>
    <w:rsid w:val="006F56D3"/>
    <w:rsid w:val="007255F3"/>
    <w:rsid w:val="00741F23"/>
    <w:rsid w:val="008F052F"/>
    <w:rsid w:val="00996C6D"/>
    <w:rsid w:val="009F44C4"/>
    <w:rsid w:val="00A6195E"/>
    <w:rsid w:val="00AF0DBE"/>
    <w:rsid w:val="00BD2BED"/>
    <w:rsid w:val="00C1227E"/>
    <w:rsid w:val="00D95DEA"/>
    <w:rsid w:val="00DB0D09"/>
    <w:rsid w:val="00DE7F58"/>
    <w:rsid w:val="00E21687"/>
    <w:rsid w:val="00F16FC2"/>
    <w:rsid w:val="00F33CB2"/>
    <w:rsid w:val="00F357C4"/>
    <w:rsid w:val="00FA4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61"/>
    <w:rPr>
      <w:rFonts w:ascii="宋体" w:eastAsia="宋体" w:hAnsi="宋体" w:cs="宋体"/>
    </w:rPr>
  </w:style>
  <w:style w:type="paragraph" w:styleId="1">
    <w:name w:val="heading 1"/>
    <w:basedOn w:val="a"/>
    <w:uiPriority w:val="9"/>
    <w:qFormat/>
    <w:rsid w:val="003C0961"/>
    <w:pPr>
      <w:spacing w:line="455" w:lineRule="exact"/>
      <w:ind w:left="2322" w:hanging="2171"/>
      <w:outlineLvl w:val="0"/>
    </w:pPr>
    <w:rPr>
      <w:rFonts w:ascii="Microsoft JhengHei" w:eastAsia="Microsoft JhengHei" w:hAnsi="Microsoft JhengHei" w:cs="Microsoft JhengHei"/>
      <w:b/>
      <w:bCs/>
      <w:sz w:val="36"/>
      <w:szCs w:val="36"/>
    </w:rPr>
  </w:style>
  <w:style w:type="paragraph" w:styleId="2">
    <w:name w:val="heading 2"/>
    <w:basedOn w:val="a"/>
    <w:uiPriority w:val="9"/>
    <w:unhideWhenUsed/>
    <w:qFormat/>
    <w:rsid w:val="003C0961"/>
    <w:pPr>
      <w:ind w:left="101" w:hanging="24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0961"/>
    <w:tblPr>
      <w:tblInd w:w="0" w:type="dxa"/>
      <w:tblCellMar>
        <w:top w:w="0" w:type="dxa"/>
        <w:left w:w="0" w:type="dxa"/>
        <w:bottom w:w="0" w:type="dxa"/>
        <w:right w:w="0" w:type="dxa"/>
      </w:tblCellMar>
    </w:tblPr>
  </w:style>
  <w:style w:type="paragraph" w:styleId="a3">
    <w:name w:val="Body Text"/>
    <w:basedOn w:val="a"/>
    <w:uiPriority w:val="1"/>
    <w:qFormat/>
    <w:rsid w:val="003C0961"/>
    <w:pPr>
      <w:spacing w:before="38"/>
    </w:pPr>
    <w:rPr>
      <w:sz w:val="24"/>
      <w:szCs w:val="24"/>
    </w:rPr>
  </w:style>
  <w:style w:type="paragraph" w:styleId="a4">
    <w:name w:val="List Paragraph"/>
    <w:basedOn w:val="a"/>
    <w:uiPriority w:val="1"/>
    <w:qFormat/>
    <w:rsid w:val="003C0961"/>
    <w:pPr>
      <w:ind w:left="355" w:hanging="240"/>
    </w:pPr>
    <w:rPr>
      <w:rFonts w:ascii="Microsoft JhengHei" w:eastAsia="Microsoft JhengHei" w:hAnsi="Microsoft JhengHei" w:cs="Microsoft JhengHei"/>
    </w:rPr>
  </w:style>
  <w:style w:type="paragraph" w:customStyle="1" w:styleId="TableParagraph">
    <w:name w:val="Table Paragraph"/>
    <w:basedOn w:val="a"/>
    <w:uiPriority w:val="1"/>
    <w:qFormat/>
    <w:rsid w:val="003C0961"/>
    <w:pPr>
      <w:ind w:left="112"/>
    </w:pPr>
  </w:style>
  <w:style w:type="paragraph" w:styleId="a5">
    <w:name w:val="header"/>
    <w:basedOn w:val="a"/>
    <w:link w:val="Char"/>
    <w:uiPriority w:val="99"/>
    <w:unhideWhenUsed/>
    <w:rsid w:val="001A6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6CD5"/>
    <w:rPr>
      <w:rFonts w:ascii="宋体" w:eastAsia="宋体" w:hAnsi="宋体" w:cs="宋体"/>
      <w:sz w:val="18"/>
      <w:szCs w:val="18"/>
    </w:rPr>
  </w:style>
  <w:style w:type="paragraph" w:styleId="a6">
    <w:name w:val="footer"/>
    <w:basedOn w:val="a"/>
    <w:link w:val="Char0"/>
    <w:uiPriority w:val="99"/>
    <w:unhideWhenUsed/>
    <w:rsid w:val="001A6CD5"/>
    <w:pPr>
      <w:tabs>
        <w:tab w:val="center" w:pos="4153"/>
        <w:tab w:val="right" w:pos="8306"/>
      </w:tabs>
      <w:snapToGrid w:val="0"/>
    </w:pPr>
    <w:rPr>
      <w:sz w:val="18"/>
      <w:szCs w:val="18"/>
    </w:rPr>
  </w:style>
  <w:style w:type="character" w:customStyle="1" w:styleId="Char0">
    <w:name w:val="页脚 Char"/>
    <w:basedOn w:val="a0"/>
    <w:link w:val="a6"/>
    <w:uiPriority w:val="99"/>
    <w:rsid w:val="001A6CD5"/>
    <w:rPr>
      <w:rFonts w:ascii="宋体" w:eastAsia="宋体" w:hAnsi="宋体" w:cs="宋体"/>
      <w:sz w:val="18"/>
      <w:szCs w:val="18"/>
    </w:rPr>
  </w:style>
  <w:style w:type="paragraph" w:styleId="a7">
    <w:name w:val="Revision"/>
    <w:hidden/>
    <w:uiPriority w:val="99"/>
    <w:semiHidden/>
    <w:rsid w:val="00163C22"/>
    <w:pPr>
      <w:widowControl/>
      <w:autoSpaceDE/>
      <w:autoSpaceDN/>
    </w:pPr>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4</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成芸嘉</dc:creator>
  <cp:lastModifiedBy>ZHONGM</cp:lastModifiedBy>
  <cp:revision>2</cp:revision>
  <dcterms:created xsi:type="dcterms:W3CDTF">2023-12-22T16:01:00Z</dcterms:created>
  <dcterms:modified xsi:type="dcterms:W3CDTF">2023-12-22T16:01:00Z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2023-03-27T00:00:00Z</vt:filetime>
  </property>
</Properties>
</file>