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0B" w:rsidRDefault="00C260D0">
      <w:pPr>
        <w:jc w:val="center"/>
        <w:rPr>
          <w:rFonts w:ascii="宋体" w:eastAsia="宋体" w:hAnsi="宋体" w:cs="Times New Roman"/>
          <w:b/>
          <w:sz w:val="32"/>
          <w:szCs w:val="48"/>
        </w:rPr>
      </w:pPr>
      <w:r>
        <w:rPr>
          <w:rFonts w:ascii="宋体" w:eastAsia="宋体" w:hAnsi="宋体" w:cs="Times New Roman"/>
          <w:b/>
          <w:sz w:val="32"/>
          <w:szCs w:val="48"/>
        </w:rPr>
        <w:t>上海东方证券资产管理有限公司</w:t>
      </w:r>
    </w:p>
    <w:p w:rsidR="0017350B" w:rsidRDefault="00C260D0">
      <w:pPr>
        <w:jc w:val="center"/>
        <w:rPr>
          <w:rFonts w:ascii="宋体" w:eastAsia="宋体" w:hAnsi="宋体" w:cs="Times New Roman"/>
          <w:b/>
          <w:sz w:val="32"/>
          <w:szCs w:val="48"/>
        </w:rPr>
      </w:pPr>
      <w:r>
        <w:rPr>
          <w:rFonts w:ascii="宋体" w:eastAsia="宋体" w:hAnsi="宋体" w:cs="Times New Roman"/>
          <w:b/>
          <w:sz w:val="32"/>
          <w:szCs w:val="48"/>
        </w:rPr>
        <w:t>关于旗下部分基金非港股通交易日安排的公告</w:t>
      </w:r>
    </w:p>
    <w:p w:rsidR="0017350B" w:rsidRDefault="0017350B">
      <w:pPr>
        <w:spacing w:line="360" w:lineRule="auto"/>
        <w:ind w:firstLineChars="200" w:firstLine="480"/>
        <w:rPr>
          <w:rFonts w:ascii="宋体" w:eastAsia="宋体" w:hAnsi="宋体" w:cs="Times New Roman"/>
          <w:sz w:val="24"/>
          <w:szCs w:val="24"/>
        </w:rPr>
      </w:pPr>
    </w:p>
    <w:p w:rsidR="0017350B" w:rsidRDefault="00C260D0">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根据管理人于</w:t>
      </w:r>
      <w:r>
        <w:rPr>
          <w:rFonts w:ascii="宋体" w:eastAsia="宋体" w:hAnsi="宋体" w:cs="Times New Roman"/>
          <w:sz w:val="24"/>
          <w:szCs w:val="24"/>
        </w:rPr>
        <w:t>2023年4月4日</w:t>
      </w:r>
      <w:r>
        <w:rPr>
          <w:rFonts w:ascii="宋体" w:eastAsia="宋体" w:hAnsi="宋体" w:cs="Times New Roman" w:hint="eastAsia"/>
          <w:sz w:val="24"/>
          <w:szCs w:val="24"/>
        </w:rPr>
        <w:t>发布的《上海东方证券资产管理有限公司关于旗下部分基金新增</w:t>
      </w:r>
      <w:r>
        <w:rPr>
          <w:rFonts w:ascii="宋体" w:eastAsia="宋体" w:hAnsi="宋体" w:cs="Times New Roman"/>
          <w:sz w:val="24"/>
          <w:szCs w:val="24"/>
        </w:rPr>
        <w:t>2023年港股通交易日后调整申购、赎回等业务安排的公告》，</w:t>
      </w:r>
      <w:r>
        <w:rPr>
          <w:rFonts w:ascii="宋体" w:eastAsia="宋体" w:hAnsi="宋体" w:cs="Times New Roman" w:hint="eastAsia"/>
          <w:sz w:val="24"/>
          <w:szCs w:val="24"/>
        </w:rPr>
        <w:t>本公司有权对合同约定“管理人有权决定是否开放”的基金的开放安排进行相应调整并另行公告</w:t>
      </w:r>
      <w:r>
        <w:rPr>
          <w:rFonts w:ascii="宋体" w:eastAsia="宋体" w:hAnsi="宋体" w:cs="Times New Roman"/>
          <w:sz w:val="24"/>
          <w:szCs w:val="24"/>
        </w:rPr>
        <w:t>。</w:t>
      </w:r>
    </w:p>
    <w:p w:rsidR="0017350B" w:rsidRDefault="00C260D0">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根据下列基金基金合同的约定，投资者可在开放日办理下列基金基金份额的申购和赎回，具体办理时间为上海证券交易所、深圳证券交易所的正常交易日的交易时间，若该工作日为非港股通交易日，则基金管理人有权决定该基金是否开放。</w:t>
      </w:r>
    </w:p>
    <w:p w:rsidR="0017350B" w:rsidRDefault="00C260D0">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023</w:t>
      </w:r>
      <w:r>
        <w:rPr>
          <w:rFonts w:ascii="宋体" w:eastAsia="宋体" w:hAnsi="宋体" w:cs="Times New Roman" w:hint="eastAsia"/>
          <w:sz w:val="24"/>
          <w:szCs w:val="24"/>
        </w:rPr>
        <w:t>年</w:t>
      </w:r>
      <w:r>
        <w:rPr>
          <w:rFonts w:ascii="宋体" w:eastAsia="宋体" w:hAnsi="宋体" w:cs="Times New Roman"/>
          <w:sz w:val="24"/>
          <w:szCs w:val="24"/>
        </w:rPr>
        <w:t>12</w:t>
      </w:r>
      <w:r>
        <w:rPr>
          <w:rFonts w:ascii="宋体" w:eastAsia="宋体" w:hAnsi="宋体" w:cs="Times New Roman" w:hint="eastAsia"/>
          <w:sz w:val="24"/>
          <w:szCs w:val="24"/>
        </w:rPr>
        <w:t>月</w:t>
      </w:r>
      <w:r>
        <w:rPr>
          <w:rFonts w:ascii="宋体" w:eastAsia="宋体" w:hAnsi="宋体" w:cs="Times New Roman"/>
          <w:sz w:val="24"/>
          <w:szCs w:val="24"/>
        </w:rPr>
        <w:t>25</w:t>
      </w:r>
      <w:r>
        <w:rPr>
          <w:rFonts w:ascii="宋体" w:eastAsia="宋体" w:hAnsi="宋体" w:cs="Times New Roman" w:hint="eastAsia"/>
          <w:sz w:val="24"/>
          <w:szCs w:val="24"/>
        </w:rPr>
        <w:t>日、</w:t>
      </w:r>
      <w:r>
        <w:rPr>
          <w:rFonts w:ascii="宋体" w:eastAsia="宋体" w:hAnsi="宋体" w:cs="Times New Roman"/>
          <w:sz w:val="24"/>
          <w:szCs w:val="24"/>
        </w:rPr>
        <w:t>12</w:t>
      </w:r>
      <w:r>
        <w:rPr>
          <w:rFonts w:ascii="宋体" w:eastAsia="宋体" w:hAnsi="宋体" w:cs="Times New Roman" w:hint="eastAsia"/>
          <w:sz w:val="24"/>
          <w:szCs w:val="24"/>
        </w:rPr>
        <w:t>月2</w:t>
      </w:r>
      <w:r>
        <w:rPr>
          <w:rFonts w:ascii="宋体" w:eastAsia="宋体" w:hAnsi="宋体" w:cs="Times New Roman"/>
          <w:sz w:val="24"/>
          <w:szCs w:val="24"/>
        </w:rPr>
        <w:t>6</w:t>
      </w:r>
      <w:r>
        <w:rPr>
          <w:rFonts w:ascii="宋体" w:eastAsia="宋体" w:hAnsi="宋体" w:cs="Times New Roman" w:hint="eastAsia"/>
          <w:sz w:val="24"/>
          <w:szCs w:val="24"/>
        </w:rPr>
        <w:t>日为非港股通交易日，经管理人决定，下列基金相关份额此次非港股通交易日开放安排为：</w:t>
      </w:r>
    </w:p>
    <w:tbl>
      <w:tblPr>
        <w:tblStyle w:val="a8"/>
        <w:tblW w:w="8931" w:type="dxa"/>
        <w:tblLook w:val="04A0"/>
      </w:tblPr>
      <w:tblGrid>
        <w:gridCol w:w="3119"/>
        <w:gridCol w:w="2127"/>
        <w:gridCol w:w="3685"/>
      </w:tblGrid>
      <w:tr w:rsidR="0017350B">
        <w:tc>
          <w:tcPr>
            <w:tcW w:w="3119" w:type="dxa"/>
          </w:tcPr>
          <w:p w:rsidR="0017350B" w:rsidRDefault="00C260D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基金名称</w:t>
            </w:r>
          </w:p>
        </w:tc>
        <w:tc>
          <w:tcPr>
            <w:tcW w:w="2127" w:type="dxa"/>
          </w:tcPr>
          <w:p w:rsidR="0017350B" w:rsidRDefault="00C260D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基金代码</w:t>
            </w:r>
          </w:p>
        </w:tc>
        <w:tc>
          <w:tcPr>
            <w:tcW w:w="3685" w:type="dxa"/>
          </w:tcPr>
          <w:p w:rsidR="0017350B" w:rsidRDefault="00C260D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是否暂停办理申购、赎回等业务</w:t>
            </w:r>
          </w:p>
        </w:tc>
      </w:tr>
      <w:tr w:rsidR="0017350B">
        <w:tc>
          <w:tcPr>
            <w:tcW w:w="3119" w:type="dxa"/>
          </w:tcPr>
          <w:p w:rsidR="0017350B" w:rsidRDefault="00C260D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东方红颐和积极养老目标五年持有期混合型基金中基金（FOF）</w:t>
            </w:r>
          </w:p>
        </w:tc>
        <w:tc>
          <w:tcPr>
            <w:tcW w:w="2127" w:type="dxa"/>
          </w:tcPr>
          <w:p w:rsidR="0017350B" w:rsidRDefault="00C260D0">
            <w:pPr>
              <w:spacing w:line="360" w:lineRule="auto"/>
              <w:rPr>
                <w:rFonts w:ascii="宋体" w:eastAsia="宋体" w:hAnsi="宋体" w:cs="Times New Roman"/>
                <w:sz w:val="24"/>
                <w:szCs w:val="24"/>
              </w:rPr>
            </w:pPr>
            <w:r>
              <w:rPr>
                <w:rFonts w:ascii="宋体" w:eastAsia="宋体" w:hAnsi="宋体" w:cs="Times New Roman" w:hint="eastAsia"/>
                <w:sz w:val="24"/>
                <w:szCs w:val="24"/>
              </w:rPr>
              <w:t>A类份额009184</w:t>
            </w:r>
          </w:p>
          <w:p w:rsidR="0017350B" w:rsidRDefault="00C260D0">
            <w:pPr>
              <w:spacing w:line="360" w:lineRule="auto"/>
              <w:rPr>
                <w:rFonts w:ascii="宋体" w:eastAsia="宋体" w:hAnsi="宋体" w:cs="Times New Roman"/>
                <w:sz w:val="24"/>
                <w:szCs w:val="24"/>
              </w:rPr>
            </w:pPr>
            <w:r>
              <w:rPr>
                <w:rFonts w:ascii="宋体" w:eastAsia="宋体" w:hAnsi="宋体" w:cs="Times New Roman" w:hint="eastAsia"/>
                <w:sz w:val="24"/>
                <w:szCs w:val="24"/>
              </w:rPr>
              <w:t>Y类份额</w:t>
            </w:r>
            <w:r>
              <w:rPr>
                <w:rFonts w:ascii="宋体" w:eastAsia="宋体" w:hAnsi="宋体" w:cs="Times New Roman"/>
                <w:sz w:val="24"/>
                <w:szCs w:val="24"/>
              </w:rPr>
              <w:t>017675</w:t>
            </w:r>
          </w:p>
          <w:p w:rsidR="0017350B" w:rsidRDefault="0017350B">
            <w:pPr>
              <w:spacing w:line="360" w:lineRule="auto"/>
              <w:jc w:val="left"/>
              <w:rPr>
                <w:rFonts w:ascii="宋体" w:eastAsia="宋体" w:hAnsi="宋体" w:cs="Times New Roman"/>
                <w:sz w:val="24"/>
                <w:szCs w:val="24"/>
              </w:rPr>
            </w:pPr>
          </w:p>
        </w:tc>
        <w:tc>
          <w:tcPr>
            <w:tcW w:w="3685" w:type="dxa"/>
          </w:tcPr>
          <w:p w:rsidR="0017350B" w:rsidRDefault="00C260D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开放办理申购（含定期定额投资）业务；赎回业务暂未开通办理</w:t>
            </w:r>
          </w:p>
        </w:tc>
      </w:tr>
      <w:tr w:rsidR="0017350B">
        <w:tc>
          <w:tcPr>
            <w:tcW w:w="3119" w:type="dxa"/>
            <w:vMerge w:val="restart"/>
          </w:tcPr>
          <w:p w:rsidR="0017350B" w:rsidRDefault="00C260D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东方红颐和平衡养老目标三年持有期混合型基金中基金（FOF）</w:t>
            </w:r>
          </w:p>
        </w:tc>
        <w:tc>
          <w:tcPr>
            <w:tcW w:w="2127" w:type="dxa"/>
          </w:tcPr>
          <w:p w:rsidR="0017350B" w:rsidRDefault="00C260D0">
            <w:pPr>
              <w:spacing w:line="360" w:lineRule="auto"/>
              <w:rPr>
                <w:rFonts w:ascii="宋体" w:eastAsia="宋体" w:hAnsi="宋体" w:cs="Times New Roman"/>
                <w:sz w:val="24"/>
                <w:szCs w:val="24"/>
              </w:rPr>
            </w:pPr>
            <w:r>
              <w:rPr>
                <w:rFonts w:ascii="宋体" w:eastAsia="宋体" w:hAnsi="宋体" w:cs="Times New Roman" w:hint="eastAsia"/>
                <w:sz w:val="24"/>
                <w:szCs w:val="24"/>
              </w:rPr>
              <w:t>A类份额009183</w:t>
            </w:r>
          </w:p>
          <w:p w:rsidR="0017350B" w:rsidRDefault="0017350B">
            <w:pPr>
              <w:spacing w:line="360" w:lineRule="auto"/>
              <w:rPr>
                <w:rFonts w:ascii="宋体" w:eastAsia="宋体" w:hAnsi="宋体" w:cs="Times New Roman"/>
                <w:sz w:val="24"/>
                <w:szCs w:val="24"/>
              </w:rPr>
            </w:pPr>
          </w:p>
        </w:tc>
        <w:tc>
          <w:tcPr>
            <w:tcW w:w="3685" w:type="dxa"/>
          </w:tcPr>
          <w:p w:rsidR="0017350B" w:rsidRDefault="00C260D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开放办理申购（含定期定额投资）、赎回业务</w:t>
            </w:r>
          </w:p>
        </w:tc>
      </w:tr>
      <w:tr w:rsidR="0017350B">
        <w:tc>
          <w:tcPr>
            <w:tcW w:w="3119" w:type="dxa"/>
            <w:vMerge/>
          </w:tcPr>
          <w:p w:rsidR="0017350B" w:rsidRDefault="0017350B">
            <w:pPr>
              <w:spacing w:line="360" w:lineRule="auto"/>
              <w:jc w:val="left"/>
              <w:rPr>
                <w:rFonts w:ascii="宋体" w:eastAsia="宋体" w:hAnsi="宋体" w:cs="Times New Roman"/>
                <w:sz w:val="24"/>
                <w:szCs w:val="24"/>
              </w:rPr>
            </w:pPr>
          </w:p>
        </w:tc>
        <w:tc>
          <w:tcPr>
            <w:tcW w:w="2127" w:type="dxa"/>
          </w:tcPr>
          <w:p w:rsidR="0017350B" w:rsidRDefault="00C260D0">
            <w:pPr>
              <w:spacing w:line="360" w:lineRule="auto"/>
              <w:rPr>
                <w:rFonts w:ascii="宋体" w:eastAsia="宋体" w:hAnsi="宋体" w:cs="Times New Roman"/>
                <w:sz w:val="24"/>
                <w:szCs w:val="24"/>
              </w:rPr>
            </w:pPr>
            <w:r>
              <w:rPr>
                <w:rFonts w:ascii="宋体" w:eastAsia="宋体" w:hAnsi="宋体" w:cs="Times New Roman" w:hint="eastAsia"/>
                <w:sz w:val="24"/>
                <w:szCs w:val="24"/>
              </w:rPr>
              <w:t>Y类份额</w:t>
            </w:r>
            <w:r>
              <w:rPr>
                <w:rFonts w:ascii="宋体" w:eastAsia="宋体" w:hAnsi="宋体" w:cs="Times New Roman"/>
                <w:sz w:val="24"/>
                <w:szCs w:val="24"/>
              </w:rPr>
              <w:t>017674</w:t>
            </w:r>
          </w:p>
          <w:p w:rsidR="0017350B" w:rsidRDefault="0017350B">
            <w:pPr>
              <w:spacing w:line="360" w:lineRule="auto"/>
              <w:rPr>
                <w:rFonts w:ascii="宋体" w:eastAsia="宋体" w:hAnsi="宋体" w:cs="Times New Roman"/>
                <w:sz w:val="24"/>
                <w:szCs w:val="24"/>
              </w:rPr>
            </w:pPr>
          </w:p>
        </w:tc>
        <w:tc>
          <w:tcPr>
            <w:tcW w:w="3685" w:type="dxa"/>
          </w:tcPr>
          <w:p w:rsidR="0017350B" w:rsidRDefault="00C260D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开放办理申购（含定期定额投资）业务；赎回业务暂未开通办理</w:t>
            </w:r>
          </w:p>
        </w:tc>
      </w:tr>
      <w:tr w:rsidR="0017350B">
        <w:tc>
          <w:tcPr>
            <w:tcW w:w="3119" w:type="dxa"/>
            <w:vMerge w:val="restart"/>
          </w:tcPr>
          <w:p w:rsidR="0017350B" w:rsidRDefault="00C260D0">
            <w:pPr>
              <w:spacing w:line="360" w:lineRule="auto"/>
              <w:rPr>
                <w:rFonts w:ascii="宋体" w:eastAsia="宋体" w:hAnsi="宋体" w:cs="Times New Roman"/>
                <w:sz w:val="24"/>
                <w:szCs w:val="24"/>
              </w:rPr>
            </w:pPr>
            <w:r>
              <w:rPr>
                <w:rFonts w:ascii="宋体" w:eastAsia="宋体" w:hAnsi="宋体" w:cs="Times New Roman" w:hint="eastAsia"/>
                <w:sz w:val="24"/>
                <w:szCs w:val="24"/>
              </w:rPr>
              <w:t>东方红颐和稳健养老目标两年持有期混合型基金中基金（FOF）</w:t>
            </w:r>
          </w:p>
          <w:p w:rsidR="0017350B" w:rsidRDefault="0017350B">
            <w:pPr>
              <w:spacing w:line="360" w:lineRule="auto"/>
              <w:jc w:val="left"/>
              <w:rPr>
                <w:rFonts w:ascii="宋体" w:eastAsia="宋体" w:hAnsi="宋体" w:cs="Times New Roman"/>
                <w:sz w:val="24"/>
                <w:szCs w:val="24"/>
              </w:rPr>
            </w:pPr>
          </w:p>
        </w:tc>
        <w:tc>
          <w:tcPr>
            <w:tcW w:w="2127" w:type="dxa"/>
          </w:tcPr>
          <w:p w:rsidR="0017350B" w:rsidRDefault="00C260D0">
            <w:pPr>
              <w:spacing w:line="360" w:lineRule="auto"/>
              <w:rPr>
                <w:rFonts w:ascii="宋体" w:eastAsia="宋体" w:hAnsi="宋体" w:cs="Times New Roman"/>
                <w:sz w:val="24"/>
                <w:szCs w:val="24"/>
              </w:rPr>
            </w:pPr>
            <w:r>
              <w:rPr>
                <w:rFonts w:ascii="宋体" w:eastAsia="宋体" w:hAnsi="宋体" w:cs="Times New Roman" w:hint="eastAsia"/>
                <w:sz w:val="24"/>
                <w:szCs w:val="24"/>
              </w:rPr>
              <w:t>A类份额009174</w:t>
            </w:r>
          </w:p>
          <w:p w:rsidR="0017350B" w:rsidRDefault="0017350B">
            <w:pPr>
              <w:spacing w:line="360" w:lineRule="auto"/>
              <w:jc w:val="left"/>
              <w:rPr>
                <w:rFonts w:ascii="宋体" w:eastAsia="宋体" w:hAnsi="宋体" w:cs="Times New Roman"/>
                <w:sz w:val="24"/>
                <w:szCs w:val="24"/>
              </w:rPr>
            </w:pPr>
          </w:p>
        </w:tc>
        <w:tc>
          <w:tcPr>
            <w:tcW w:w="3685" w:type="dxa"/>
          </w:tcPr>
          <w:p w:rsidR="0017350B" w:rsidRDefault="00C260D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开放办理申购（含定期定额投资）、赎回业务</w:t>
            </w:r>
          </w:p>
        </w:tc>
      </w:tr>
      <w:tr w:rsidR="0017350B">
        <w:tc>
          <w:tcPr>
            <w:tcW w:w="3119" w:type="dxa"/>
            <w:vMerge/>
          </w:tcPr>
          <w:p w:rsidR="0017350B" w:rsidRDefault="0017350B">
            <w:pPr>
              <w:spacing w:line="360" w:lineRule="auto"/>
              <w:jc w:val="left"/>
              <w:rPr>
                <w:rFonts w:ascii="宋体" w:eastAsia="宋体" w:hAnsi="宋体" w:cs="Times New Roman"/>
                <w:sz w:val="24"/>
                <w:szCs w:val="24"/>
              </w:rPr>
            </w:pPr>
          </w:p>
        </w:tc>
        <w:tc>
          <w:tcPr>
            <w:tcW w:w="2127" w:type="dxa"/>
          </w:tcPr>
          <w:p w:rsidR="0017350B" w:rsidRDefault="00C260D0">
            <w:pPr>
              <w:spacing w:line="360" w:lineRule="auto"/>
              <w:rPr>
                <w:rFonts w:ascii="宋体" w:eastAsia="宋体" w:hAnsi="宋体" w:cs="Times New Roman"/>
                <w:sz w:val="24"/>
                <w:szCs w:val="24"/>
              </w:rPr>
            </w:pPr>
            <w:r>
              <w:rPr>
                <w:rFonts w:ascii="宋体" w:eastAsia="宋体" w:hAnsi="宋体" w:cs="Times New Roman" w:hint="eastAsia"/>
                <w:sz w:val="24"/>
                <w:szCs w:val="24"/>
              </w:rPr>
              <w:t>Y类份额</w:t>
            </w:r>
            <w:r>
              <w:rPr>
                <w:rFonts w:ascii="宋体" w:eastAsia="宋体" w:hAnsi="宋体" w:cs="Times New Roman"/>
                <w:sz w:val="24"/>
                <w:szCs w:val="24"/>
              </w:rPr>
              <w:t>017673</w:t>
            </w:r>
          </w:p>
          <w:p w:rsidR="0017350B" w:rsidRDefault="0017350B">
            <w:pPr>
              <w:spacing w:line="360" w:lineRule="auto"/>
              <w:jc w:val="left"/>
              <w:rPr>
                <w:rFonts w:ascii="宋体" w:eastAsia="宋体" w:hAnsi="宋体" w:cs="Times New Roman"/>
                <w:sz w:val="24"/>
                <w:szCs w:val="24"/>
              </w:rPr>
            </w:pPr>
          </w:p>
        </w:tc>
        <w:tc>
          <w:tcPr>
            <w:tcW w:w="3685" w:type="dxa"/>
          </w:tcPr>
          <w:p w:rsidR="0017350B" w:rsidRDefault="00C260D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开放办理申购（含定期定额投资）业务；赎回业务暂未开通办理</w:t>
            </w:r>
          </w:p>
        </w:tc>
      </w:tr>
      <w:tr w:rsidR="0017350B">
        <w:tc>
          <w:tcPr>
            <w:tcW w:w="3119" w:type="dxa"/>
          </w:tcPr>
          <w:p w:rsidR="0017350B" w:rsidRDefault="00C260D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东方红养老目标日期</w:t>
            </w:r>
            <w:r>
              <w:rPr>
                <w:rFonts w:ascii="宋体" w:eastAsia="宋体" w:hAnsi="宋体" w:cs="Times New Roman"/>
                <w:sz w:val="24"/>
                <w:szCs w:val="24"/>
              </w:rPr>
              <w:t>2045五年持有期混合型发起式基金中基金（FOF）</w:t>
            </w:r>
          </w:p>
        </w:tc>
        <w:tc>
          <w:tcPr>
            <w:tcW w:w="2127" w:type="dxa"/>
          </w:tcPr>
          <w:p w:rsidR="0017350B" w:rsidRDefault="00C260D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A类份额</w:t>
            </w:r>
            <w:r>
              <w:rPr>
                <w:rFonts w:ascii="宋体" w:eastAsia="宋体" w:hAnsi="宋体" w:cs="Times New Roman"/>
                <w:sz w:val="24"/>
                <w:szCs w:val="24"/>
              </w:rPr>
              <w:t>016242</w:t>
            </w:r>
          </w:p>
          <w:p w:rsidR="0017350B" w:rsidRDefault="00C260D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Y类份额 </w:t>
            </w:r>
            <w:r>
              <w:rPr>
                <w:rFonts w:ascii="宋体" w:eastAsia="宋体" w:hAnsi="宋体" w:cs="Times New Roman"/>
                <w:sz w:val="24"/>
                <w:szCs w:val="24"/>
              </w:rPr>
              <w:t>019823</w:t>
            </w:r>
          </w:p>
        </w:tc>
        <w:tc>
          <w:tcPr>
            <w:tcW w:w="3685" w:type="dxa"/>
          </w:tcPr>
          <w:p w:rsidR="0017350B" w:rsidRDefault="00C260D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开放办理申购（含定期定额投资）业务；赎回业务暂未开通办理</w:t>
            </w:r>
          </w:p>
        </w:tc>
      </w:tr>
      <w:tr w:rsidR="0017350B">
        <w:tc>
          <w:tcPr>
            <w:tcW w:w="3119" w:type="dxa"/>
          </w:tcPr>
          <w:p w:rsidR="0017350B" w:rsidRDefault="00C260D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lastRenderedPageBreak/>
              <w:t>东方红安盈甄选一年持有期混合型证券投资基金</w:t>
            </w:r>
          </w:p>
        </w:tc>
        <w:tc>
          <w:tcPr>
            <w:tcW w:w="2127" w:type="dxa"/>
          </w:tcPr>
          <w:p w:rsidR="0017350B" w:rsidRDefault="00C260D0">
            <w:pPr>
              <w:spacing w:line="360" w:lineRule="auto"/>
              <w:rPr>
                <w:rFonts w:ascii="宋体" w:eastAsia="宋体" w:hAnsi="宋体" w:cs="Times New Roman"/>
                <w:sz w:val="24"/>
                <w:szCs w:val="24"/>
              </w:rPr>
            </w:pPr>
            <w:r>
              <w:rPr>
                <w:rFonts w:ascii="宋体" w:eastAsia="宋体" w:hAnsi="宋体" w:cs="Times New Roman" w:hint="eastAsia"/>
                <w:sz w:val="24"/>
                <w:szCs w:val="24"/>
              </w:rPr>
              <w:t>A类份额012683</w:t>
            </w:r>
          </w:p>
          <w:p w:rsidR="0017350B" w:rsidRDefault="00C260D0">
            <w:pPr>
              <w:spacing w:line="360" w:lineRule="auto"/>
              <w:rPr>
                <w:rFonts w:ascii="宋体" w:eastAsia="宋体" w:hAnsi="宋体" w:cs="Times New Roman"/>
                <w:sz w:val="24"/>
                <w:szCs w:val="24"/>
              </w:rPr>
            </w:pPr>
            <w:r>
              <w:rPr>
                <w:rFonts w:ascii="宋体" w:eastAsia="宋体" w:hAnsi="宋体" w:cs="Times New Roman" w:hint="eastAsia"/>
                <w:sz w:val="24"/>
                <w:szCs w:val="24"/>
              </w:rPr>
              <w:t>C类份额0</w:t>
            </w:r>
            <w:r>
              <w:rPr>
                <w:rFonts w:ascii="宋体" w:eastAsia="宋体" w:hAnsi="宋体" w:cs="Times New Roman"/>
                <w:sz w:val="24"/>
                <w:szCs w:val="24"/>
              </w:rPr>
              <w:t>12684</w:t>
            </w:r>
          </w:p>
          <w:p w:rsidR="0017350B" w:rsidRDefault="0017350B">
            <w:pPr>
              <w:spacing w:line="360" w:lineRule="auto"/>
              <w:jc w:val="left"/>
              <w:rPr>
                <w:rFonts w:ascii="宋体" w:eastAsia="宋体" w:hAnsi="宋体" w:cs="Times New Roman"/>
                <w:sz w:val="24"/>
                <w:szCs w:val="24"/>
              </w:rPr>
            </w:pPr>
          </w:p>
        </w:tc>
        <w:tc>
          <w:tcPr>
            <w:tcW w:w="3685" w:type="dxa"/>
          </w:tcPr>
          <w:p w:rsidR="0017350B" w:rsidRDefault="00C260D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开放办理申购（含定期定额投资、转换转入）、赎回（含转换转出）业务</w:t>
            </w:r>
          </w:p>
        </w:tc>
      </w:tr>
      <w:tr w:rsidR="0017350B">
        <w:tc>
          <w:tcPr>
            <w:tcW w:w="3119" w:type="dxa"/>
          </w:tcPr>
          <w:p w:rsidR="0017350B" w:rsidRDefault="00C260D0">
            <w:pPr>
              <w:spacing w:line="360" w:lineRule="auto"/>
              <w:rPr>
                <w:rFonts w:ascii="宋体" w:eastAsia="宋体" w:hAnsi="宋体" w:cs="Times New Roman"/>
                <w:sz w:val="24"/>
                <w:szCs w:val="24"/>
              </w:rPr>
            </w:pPr>
            <w:r>
              <w:rPr>
                <w:rFonts w:ascii="宋体" w:eastAsia="宋体" w:hAnsi="宋体" w:cs="Times New Roman"/>
                <w:sz w:val="24"/>
                <w:szCs w:val="24"/>
              </w:rPr>
              <w:t>东方红先进制造混合型证券投资基金</w:t>
            </w:r>
          </w:p>
        </w:tc>
        <w:tc>
          <w:tcPr>
            <w:tcW w:w="2127" w:type="dxa"/>
          </w:tcPr>
          <w:p w:rsidR="0017350B" w:rsidRDefault="00C260D0">
            <w:pPr>
              <w:spacing w:line="360" w:lineRule="auto"/>
              <w:rPr>
                <w:rFonts w:ascii="宋体" w:eastAsia="宋体" w:hAnsi="宋体" w:cs="Times New Roman"/>
                <w:sz w:val="24"/>
                <w:szCs w:val="24"/>
              </w:rPr>
            </w:pPr>
            <w:r>
              <w:rPr>
                <w:rFonts w:ascii="宋体" w:eastAsia="宋体" w:hAnsi="宋体" w:cs="Times New Roman" w:hint="eastAsia"/>
                <w:sz w:val="24"/>
                <w:szCs w:val="24"/>
              </w:rPr>
              <w:t>A类份额</w:t>
            </w:r>
            <w:r>
              <w:rPr>
                <w:rFonts w:ascii="宋体" w:eastAsia="宋体" w:hAnsi="宋体" w:cs="Times New Roman"/>
                <w:sz w:val="24"/>
                <w:szCs w:val="24"/>
              </w:rPr>
              <w:t>017848</w:t>
            </w:r>
          </w:p>
          <w:p w:rsidR="0017350B" w:rsidRDefault="00C260D0">
            <w:pPr>
              <w:spacing w:line="360" w:lineRule="auto"/>
              <w:rPr>
                <w:rFonts w:ascii="宋体" w:eastAsia="宋体" w:hAnsi="宋体" w:cs="Times New Roman"/>
                <w:sz w:val="24"/>
                <w:szCs w:val="24"/>
              </w:rPr>
            </w:pPr>
            <w:r>
              <w:rPr>
                <w:rFonts w:ascii="宋体" w:eastAsia="宋体" w:hAnsi="宋体" w:cs="Times New Roman" w:hint="eastAsia"/>
                <w:sz w:val="24"/>
                <w:szCs w:val="24"/>
              </w:rPr>
              <w:t>C类份额</w:t>
            </w:r>
            <w:r>
              <w:rPr>
                <w:rFonts w:ascii="宋体" w:eastAsia="宋体" w:hAnsi="宋体" w:cs="Times New Roman"/>
                <w:sz w:val="24"/>
                <w:szCs w:val="24"/>
              </w:rPr>
              <w:t>017849</w:t>
            </w:r>
          </w:p>
          <w:p w:rsidR="0017350B" w:rsidRDefault="0017350B">
            <w:pPr>
              <w:spacing w:line="360" w:lineRule="auto"/>
              <w:jc w:val="center"/>
              <w:rPr>
                <w:rFonts w:ascii="宋体" w:eastAsia="宋体" w:hAnsi="宋体" w:cs="Times New Roman"/>
                <w:sz w:val="24"/>
                <w:szCs w:val="24"/>
              </w:rPr>
            </w:pPr>
          </w:p>
        </w:tc>
        <w:tc>
          <w:tcPr>
            <w:tcW w:w="3685" w:type="dxa"/>
          </w:tcPr>
          <w:p w:rsidR="0017350B" w:rsidRDefault="00C260D0">
            <w:pPr>
              <w:spacing w:line="360" w:lineRule="auto"/>
              <w:rPr>
                <w:rFonts w:ascii="宋体" w:eastAsia="宋体" w:hAnsi="宋体" w:cs="Times New Roman"/>
                <w:sz w:val="24"/>
                <w:szCs w:val="24"/>
              </w:rPr>
            </w:pPr>
            <w:r>
              <w:rPr>
                <w:rFonts w:ascii="宋体" w:eastAsia="宋体" w:hAnsi="宋体" w:cs="Times New Roman" w:hint="eastAsia"/>
                <w:sz w:val="24"/>
                <w:szCs w:val="24"/>
              </w:rPr>
              <w:t>暂停办理申购（含定期定额投资、转换转入）、赎回（含转换转出）业务</w:t>
            </w:r>
          </w:p>
        </w:tc>
      </w:tr>
      <w:tr w:rsidR="0017350B">
        <w:tc>
          <w:tcPr>
            <w:tcW w:w="3119" w:type="dxa"/>
          </w:tcPr>
          <w:p w:rsidR="0017350B" w:rsidRDefault="00C260D0">
            <w:pPr>
              <w:spacing w:line="360" w:lineRule="auto"/>
              <w:rPr>
                <w:rFonts w:ascii="宋体" w:eastAsia="宋体" w:hAnsi="宋体" w:cs="Times New Roman"/>
                <w:sz w:val="24"/>
                <w:szCs w:val="24"/>
              </w:rPr>
            </w:pPr>
            <w:r>
              <w:rPr>
                <w:rFonts w:ascii="宋体" w:eastAsia="宋体" w:hAnsi="宋体" w:cs="Times New Roman" w:hint="eastAsia"/>
                <w:sz w:val="24"/>
                <w:szCs w:val="24"/>
              </w:rPr>
              <w:t>东方红颐安稳健养老目标一年持有期混合型基金中基金（</w:t>
            </w:r>
            <w:r>
              <w:rPr>
                <w:rFonts w:ascii="宋体" w:eastAsia="宋体" w:hAnsi="宋体" w:cs="Times New Roman"/>
                <w:sz w:val="24"/>
                <w:szCs w:val="24"/>
              </w:rPr>
              <w:t>FOF</w:t>
            </w:r>
            <w:r>
              <w:rPr>
                <w:rFonts w:ascii="宋体" w:eastAsia="宋体" w:hAnsi="宋体" w:cs="Times New Roman" w:hint="eastAsia"/>
                <w:sz w:val="24"/>
                <w:szCs w:val="24"/>
              </w:rPr>
              <w:t>）</w:t>
            </w:r>
          </w:p>
        </w:tc>
        <w:tc>
          <w:tcPr>
            <w:tcW w:w="2127" w:type="dxa"/>
          </w:tcPr>
          <w:p w:rsidR="0017350B" w:rsidRDefault="00C260D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A类份额</w:t>
            </w:r>
            <w:r>
              <w:rPr>
                <w:rFonts w:ascii="宋体" w:eastAsia="宋体" w:hAnsi="宋体" w:cs="Times New Roman"/>
                <w:sz w:val="24"/>
                <w:szCs w:val="24"/>
              </w:rPr>
              <w:t>017775</w:t>
            </w:r>
          </w:p>
          <w:p w:rsidR="0017350B" w:rsidRDefault="00C260D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Y类份额</w:t>
            </w:r>
            <w:r>
              <w:rPr>
                <w:rFonts w:ascii="宋体" w:eastAsia="宋体" w:hAnsi="宋体" w:cs="Times New Roman"/>
                <w:sz w:val="24"/>
                <w:szCs w:val="24"/>
              </w:rPr>
              <w:t>019904</w:t>
            </w:r>
          </w:p>
        </w:tc>
        <w:tc>
          <w:tcPr>
            <w:tcW w:w="3685" w:type="dxa"/>
          </w:tcPr>
          <w:p w:rsidR="0017350B" w:rsidRDefault="00EB568A">
            <w:pPr>
              <w:spacing w:line="360" w:lineRule="auto"/>
              <w:rPr>
                <w:rFonts w:ascii="宋体" w:eastAsia="宋体" w:hAnsi="宋体" w:cs="Times New Roman"/>
                <w:sz w:val="24"/>
                <w:szCs w:val="24"/>
              </w:rPr>
            </w:pPr>
            <w:r>
              <w:rPr>
                <w:rFonts w:ascii="宋体" w:eastAsia="宋体" w:hAnsi="宋体" w:cs="Times New Roman" w:hint="eastAsia"/>
                <w:sz w:val="24"/>
                <w:szCs w:val="24"/>
              </w:rPr>
              <w:t>开放</w:t>
            </w:r>
            <w:r w:rsidR="00C260D0">
              <w:rPr>
                <w:rFonts w:ascii="宋体" w:eastAsia="宋体" w:hAnsi="宋体" w:cs="Times New Roman" w:hint="eastAsia"/>
                <w:sz w:val="24"/>
                <w:szCs w:val="24"/>
              </w:rPr>
              <w:t>办理申购（含定期定额投资）业务；赎回业务暂未开通办理</w:t>
            </w:r>
          </w:p>
        </w:tc>
      </w:tr>
      <w:tr w:rsidR="0017350B">
        <w:tc>
          <w:tcPr>
            <w:tcW w:w="3119" w:type="dxa"/>
          </w:tcPr>
          <w:p w:rsidR="0017350B" w:rsidRDefault="00C260D0">
            <w:pPr>
              <w:spacing w:line="360" w:lineRule="auto"/>
              <w:rPr>
                <w:rFonts w:ascii="宋体" w:eastAsia="宋体" w:hAnsi="宋体" w:cs="Times New Roman"/>
                <w:sz w:val="24"/>
                <w:szCs w:val="24"/>
              </w:rPr>
            </w:pPr>
            <w:r>
              <w:rPr>
                <w:rFonts w:ascii="宋体" w:eastAsia="宋体" w:hAnsi="宋体" w:cs="Times New Roman"/>
                <w:sz w:val="24"/>
                <w:szCs w:val="24"/>
              </w:rPr>
              <w:t>东方红欣和积极配置3个月持有期混合型基金中基金（FOF）</w:t>
            </w:r>
          </w:p>
        </w:tc>
        <w:tc>
          <w:tcPr>
            <w:tcW w:w="2127" w:type="dxa"/>
          </w:tcPr>
          <w:p w:rsidR="0017350B" w:rsidRPr="00A04F56" w:rsidRDefault="00C260D0" w:rsidP="00A04F56">
            <w:pPr>
              <w:spacing w:line="360" w:lineRule="auto"/>
              <w:rPr>
                <w:rFonts w:ascii="宋体" w:eastAsia="宋体" w:hAnsi="宋体" w:cs="Times New Roman"/>
                <w:sz w:val="24"/>
                <w:szCs w:val="24"/>
              </w:rPr>
            </w:pPr>
            <w:r>
              <w:rPr>
                <w:rFonts w:ascii="宋体" w:eastAsia="宋体" w:hAnsi="宋体" w:cs="Times New Roman" w:hint="eastAsia"/>
                <w:sz w:val="24"/>
                <w:szCs w:val="24"/>
              </w:rPr>
              <w:t>A类份额</w:t>
            </w:r>
            <w:r w:rsidRPr="00A04F56">
              <w:rPr>
                <w:rFonts w:ascii="宋体" w:eastAsia="宋体" w:hAnsi="宋体" w:cs="Times New Roman"/>
                <w:sz w:val="24"/>
                <w:szCs w:val="24"/>
              </w:rPr>
              <w:t>018511</w:t>
            </w:r>
          </w:p>
          <w:p w:rsidR="0017350B" w:rsidRDefault="00C260D0">
            <w:pPr>
              <w:spacing w:line="360" w:lineRule="auto"/>
              <w:rPr>
                <w:rFonts w:ascii="宋体" w:eastAsia="宋体" w:hAnsi="宋体" w:cs="Times New Roman"/>
                <w:sz w:val="24"/>
                <w:szCs w:val="24"/>
              </w:rPr>
            </w:pPr>
            <w:r>
              <w:rPr>
                <w:rFonts w:ascii="宋体" w:eastAsia="宋体" w:hAnsi="宋体" w:cs="Times New Roman" w:hint="eastAsia"/>
                <w:sz w:val="24"/>
                <w:szCs w:val="24"/>
              </w:rPr>
              <w:t>C类份额01851</w:t>
            </w:r>
            <w:r>
              <w:rPr>
                <w:rFonts w:ascii="宋体" w:eastAsia="宋体" w:hAnsi="宋体" w:cs="Times New Roman"/>
                <w:sz w:val="24"/>
                <w:szCs w:val="24"/>
              </w:rPr>
              <w:t>2</w:t>
            </w:r>
          </w:p>
        </w:tc>
        <w:tc>
          <w:tcPr>
            <w:tcW w:w="3685" w:type="dxa"/>
          </w:tcPr>
          <w:p w:rsidR="0017350B" w:rsidRDefault="00C260D0">
            <w:pPr>
              <w:spacing w:line="360" w:lineRule="auto"/>
              <w:rPr>
                <w:rFonts w:ascii="宋体" w:eastAsia="宋体" w:hAnsi="宋体" w:cs="Times New Roman"/>
                <w:sz w:val="24"/>
                <w:szCs w:val="24"/>
              </w:rPr>
            </w:pPr>
            <w:r>
              <w:rPr>
                <w:rFonts w:ascii="宋体" w:eastAsia="宋体" w:hAnsi="宋体" w:cs="Times New Roman" w:hint="eastAsia"/>
                <w:sz w:val="24"/>
                <w:szCs w:val="24"/>
              </w:rPr>
              <w:t>暂停办理申购（含定期定额投资）、赎回业务</w:t>
            </w:r>
          </w:p>
        </w:tc>
      </w:tr>
    </w:tbl>
    <w:p w:rsidR="0017350B" w:rsidRDefault="0017350B">
      <w:pPr>
        <w:spacing w:line="360" w:lineRule="auto"/>
        <w:ind w:firstLineChars="200" w:firstLine="480"/>
        <w:rPr>
          <w:rFonts w:ascii="宋体" w:eastAsia="宋体" w:hAnsi="宋体" w:cs="Times New Roman"/>
          <w:sz w:val="24"/>
          <w:szCs w:val="24"/>
        </w:rPr>
      </w:pPr>
    </w:p>
    <w:p w:rsidR="0017350B" w:rsidRDefault="00C260D0">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除上述列表基金相关份额外，其余基金份额此次非港股通交易日安排仍以管理人</w:t>
      </w:r>
      <w:r>
        <w:rPr>
          <w:rFonts w:ascii="宋体" w:eastAsia="宋体" w:hAnsi="宋体" w:cs="Times New Roman"/>
          <w:sz w:val="24"/>
          <w:szCs w:val="24"/>
        </w:rPr>
        <w:t>2023年4月4日</w:t>
      </w:r>
      <w:r>
        <w:rPr>
          <w:rFonts w:ascii="宋体" w:eastAsia="宋体" w:hAnsi="宋体" w:cs="Times New Roman" w:hint="eastAsia"/>
          <w:sz w:val="24"/>
          <w:szCs w:val="24"/>
        </w:rPr>
        <w:t>发布的《上海东方证券资产管理有限公司关于旗下部分基金新增</w:t>
      </w:r>
      <w:r>
        <w:rPr>
          <w:rFonts w:ascii="宋体" w:eastAsia="宋体" w:hAnsi="宋体" w:cs="Times New Roman"/>
          <w:sz w:val="24"/>
          <w:szCs w:val="24"/>
        </w:rPr>
        <w:t>2023年港股通交易日后调整申购、赎回等业务安排的公告》</w:t>
      </w:r>
      <w:r>
        <w:rPr>
          <w:rFonts w:ascii="宋体" w:eastAsia="宋体" w:hAnsi="宋体" w:cs="Times New Roman" w:hint="eastAsia"/>
          <w:sz w:val="24"/>
          <w:szCs w:val="24"/>
        </w:rPr>
        <w:t>为准。上述基金如2</w:t>
      </w:r>
      <w:r>
        <w:rPr>
          <w:rFonts w:ascii="宋体" w:eastAsia="宋体" w:hAnsi="宋体" w:cs="Times New Roman"/>
          <w:sz w:val="24"/>
          <w:szCs w:val="24"/>
        </w:rPr>
        <w:t>023</w:t>
      </w:r>
      <w:r>
        <w:rPr>
          <w:rFonts w:ascii="宋体" w:eastAsia="宋体" w:hAnsi="宋体" w:cs="Times New Roman" w:hint="eastAsia"/>
          <w:sz w:val="24"/>
          <w:szCs w:val="24"/>
        </w:rPr>
        <w:t>年</w:t>
      </w:r>
      <w:r>
        <w:rPr>
          <w:rFonts w:ascii="宋体" w:eastAsia="宋体" w:hAnsi="宋体" w:cs="Times New Roman"/>
          <w:sz w:val="24"/>
          <w:szCs w:val="24"/>
        </w:rPr>
        <w:t>12</w:t>
      </w:r>
      <w:r>
        <w:rPr>
          <w:rFonts w:ascii="宋体" w:eastAsia="宋体" w:hAnsi="宋体" w:cs="Times New Roman" w:hint="eastAsia"/>
          <w:sz w:val="24"/>
          <w:szCs w:val="24"/>
        </w:rPr>
        <w:t>月2</w:t>
      </w:r>
      <w:r>
        <w:rPr>
          <w:rFonts w:ascii="宋体" w:eastAsia="宋体" w:hAnsi="宋体" w:cs="Times New Roman"/>
          <w:sz w:val="24"/>
          <w:szCs w:val="24"/>
        </w:rPr>
        <w:t>5</w:t>
      </w:r>
      <w:r>
        <w:rPr>
          <w:rFonts w:ascii="宋体" w:eastAsia="宋体" w:hAnsi="宋体" w:cs="Times New Roman" w:hint="eastAsia"/>
          <w:sz w:val="24"/>
          <w:szCs w:val="24"/>
        </w:rPr>
        <w:t>日、1</w:t>
      </w:r>
      <w:r>
        <w:rPr>
          <w:rFonts w:ascii="宋体" w:eastAsia="宋体" w:hAnsi="宋体" w:cs="Times New Roman"/>
          <w:sz w:val="24"/>
          <w:szCs w:val="24"/>
        </w:rPr>
        <w:t>2</w:t>
      </w:r>
      <w:r>
        <w:rPr>
          <w:rFonts w:ascii="宋体" w:eastAsia="宋体" w:hAnsi="宋体" w:cs="Times New Roman" w:hint="eastAsia"/>
          <w:sz w:val="24"/>
          <w:szCs w:val="24"/>
        </w:rPr>
        <w:t>月2</w:t>
      </w:r>
      <w:r>
        <w:rPr>
          <w:rFonts w:ascii="宋体" w:eastAsia="宋体" w:hAnsi="宋体" w:cs="Times New Roman"/>
          <w:sz w:val="24"/>
          <w:szCs w:val="24"/>
        </w:rPr>
        <w:t>6</w:t>
      </w:r>
      <w:r>
        <w:rPr>
          <w:rFonts w:ascii="宋体" w:eastAsia="宋体" w:hAnsi="宋体" w:cs="Times New Roman" w:hint="eastAsia"/>
          <w:sz w:val="24"/>
          <w:szCs w:val="24"/>
        </w:rPr>
        <w:t>日暂停办理相关业务的，将于2</w:t>
      </w:r>
      <w:r>
        <w:rPr>
          <w:rFonts w:ascii="宋体" w:eastAsia="宋体" w:hAnsi="宋体" w:cs="Times New Roman"/>
          <w:sz w:val="24"/>
          <w:szCs w:val="24"/>
        </w:rPr>
        <w:t>023</w:t>
      </w:r>
      <w:r>
        <w:rPr>
          <w:rFonts w:ascii="宋体" w:eastAsia="宋体" w:hAnsi="宋体" w:cs="Times New Roman" w:hint="eastAsia"/>
          <w:sz w:val="24"/>
          <w:szCs w:val="24"/>
        </w:rPr>
        <w:t>年1</w:t>
      </w:r>
      <w:r>
        <w:rPr>
          <w:rFonts w:ascii="宋体" w:eastAsia="宋体" w:hAnsi="宋体" w:cs="Times New Roman"/>
          <w:sz w:val="24"/>
          <w:szCs w:val="24"/>
        </w:rPr>
        <w:t>2</w:t>
      </w:r>
      <w:r>
        <w:rPr>
          <w:rFonts w:ascii="宋体" w:eastAsia="宋体" w:hAnsi="宋体" w:cs="Times New Roman" w:hint="eastAsia"/>
          <w:sz w:val="24"/>
          <w:szCs w:val="24"/>
        </w:rPr>
        <w:t>月</w:t>
      </w:r>
      <w:r>
        <w:rPr>
          <w:rFonts w:ascii="宋体" w:eastAsia="宋体" w:hAnsi="宋体" w:cs="Times New Roman"/>
          <w:sz w:val="24"/>
          <w:szCs w:val="24"/>
        </w:rPr>
        <w:t>27</w:t>
      </w:r>
      <w:r>
        <w:rPr>
          <w:rFonts w:ascii="宋体" w:eastAsia="宋体" w:hAnsi="宋体" w:cs="Times New Roman" w:hint="eastAsia"/>
          <w:sz w:val="24"/>
          <w:szCs w:val="24"/>
        </w:rPr>
        <w:t>日（含）起恢复办理相关业务。</w:t>
      </w:r>
    </w:p>
    <w:p w:rsidR="0017350B" w:rsidRDefault="0017350B">
      <w:pPr>
        <w:spacing w:line="360" w:lineRule="auto"/>
        <w:ind w:firstLineChars="200" w:firstLine="480"/>
        <w:rPr>
          <w:rFonts w:ascii="宋体" w:eastAsia="宋体" w:hAnsi="宋体" w:cs="Times New Roman"/>
          <w:sz w:val="24"/>
          <w:szCs w:val="24"/>
        </w:rPr>
      </w:pPr>
    </w:p>
    <w:p w:rsidR="0017350B" w:rsidRDefault="00C260D0">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风险提示：本公司承诺以诚实信用、勤勉尽责的原则管理和运用基金资产，但不保证基金一定盈利，也不保证最低收益。基金投资需谨慎，敬请投资者注意投资风险。投资者投资于上述基金前应认真阅读基金最新的基金合同、招募说明书及基金产品资料概要。敬请投资者关注适当性管理相关规定，提前做好风险测评，并根据自身的风险承受能力购买风险等级相匹配的产品。投资者应当充分了解基金定期定额投资和零存整取等储蓄方式的区别。基金定期定额投资是引导投资者进行长期投资，平均投资成本的一种简单易行的投资方式。但是定期定额投资并不能规避基金投资所固有的风险，不能保证投资者获得收益，也不是替代储</w:t>
      </w:r>
      <w:bookmarkStart w:id="0" w:name="_GoBack"/>
      <w:bookmarkEnd w:id="0"/>
      <w:r>
        <w:rPr>
          <w:rFonts w:ascii="宋体" w:eastAsia="宋体" w:hAnsi="宋体" w:cs="Times New Roman" w:hint="eastAsia"/>
          <w:sz w:val="24"/>
          <w:szCs w:val="24"/>
        </w:rPr>
        <w:t>蓄的等效理财方式。</w:t>
      </w:r>
    </w:p>
    <w:p w:rsidR="0017350B" w:rsidRDefault="0017350B">
      <w:pPr>
        <w:spacing w:line="360" w:lineRule="auto"/>
        <w:ind w:firstLineChars="200" w:firstLine="480"/>
        <w:jc w:val="right"/>
        <w:rPr>
          <w:rFonts w:ascii="宋体" w:eastAsia="宋体" w:hAnsi="宋体" w:cs="Times New Roman"/>
          <w:sz w:val="24"/>
          <w:szCs w:val="24"/>
        </w:rPr>
      </w:pPr>
    </w:p>
    <w:p w:rsidR="0017350B" w:rsidRDefault="00C260D0">
      <w:pPr>
        <w:spacing w:line="360" w:lineRule="auto"/>
        <w:ind w:firstLineChars="200" w:firstLine="480"/>
        <w:jc w:val="right"/>
        <w:rPr>
          <w:rFonts w:ascii="宋体" w:eastAsia="宋体" w:hAnsi="宋体" w:cs="Times New Roman"/>
          <w:sz w:val="24"/>
          <w:szCs w:val="24"/>
        </w:rPr>
      </w:pPr>
      <w:r>
        <w:rPr>
          <w:rFonts w:ascii="宋体" w:eastAsia="宋体" w:hAnsi="宋体" w:cs="Times New Roman" w:hint="eastAsia"/>
          <w:sz w:val="24"/>
          <w:szCs w:val="24"/>
        </w:rPr>
        <w:lastRenderedPageBreak/>
        <w:t>上海东方证券资产管理有限公司</w:t>
      </w:r>
    </w:p>
    <w:p w:rsidR="0017350B" w:rsidRDefault="00C260D0">
      <w:pPr>
        <w:spacing w:line="360" w:lineRule="auto"/>
        <w:ind w:firstLineChars="200" w:firstLine="480"/>
        <w:jc w:val="right"/>
        <w:rPr>
          <w:rFonts w:ascii="宋体" w:eastAsia="宋体" w:hAnsi="宋体" w:cs="Times New Roman"/>
          <w:sz w:val="24"/>
          <w:szCs w:val="24"/>
        </w:rPr>
      </w:pPr>
      <w:r>
        <w:rPr>
          <w:rFonts w:ascii="宋体" w:eastAsia="宋体" w:hAnsi="宋体" w:cs="Times New Roman"/>
          <w:sz w:val="24"/>
          <w:szCs w:val="24"/>
        </w:rPr>
        <w:t>2023年12月22日</w:t>
      </w:r>
    </w:p>
    <w:sectPr w:rsidR="0017350B" w:rsidSect="007137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58F" w:rsidRDefault="00B8758F"/>
  </w:endnote>
  <w:endnote w:type="continuationSeparator" w:id="0">
    <w:p w:rsidR="00B8758F" w:rsidRDefault="00B8758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58F" w:rsidRDefault="00B8758F"/>
  </w:footnote>
  <w:footnote w:type="continuationSeparator" w:id="0">
    <w:p w:rsidR="00B8758F" w:rsidRDefault="00B8758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7F37"/>
    <w:rsid w:val="00031434"/>
    <w:rsid w:val="00046C85"/>
    <w:rsid w:val="00046F2C"/>
    <w:rsid w:val="00054C60"/>
    <w:rsid w:val="000B262D"/>
    <w:rsid w:val="000C1FF3"/>
    <w:rsid w:val="000C7030"/>
    <w:rsid w:val="000E3E60"/>
    <w:rsid w:val="000F2AD6"/>
    <w:rsid w:val="0010002D"/>
    <w:rsid w:val="00117A8B"/>
    <w:rsid w:val="00166795"/>
    <w:rsid w:val="00167FEF"/>
    <w:rsid w:val="0017350B"/>
    <w:rsid w:val="00174FEB"/>
    <w:rsid w:val="0018727F"/>
    <w:rsid w:val="001C0C87"/>
    <w:rsid w:val="001C6223"/>
    <w:rsid w:val="001F38DB"/>
    <w:rsid w:val="00205699"/>
    <w:rsid w:val="00232565"/>
    <w:rsid w:val="0027078D"/>
    <w:rsid w:val="002863F3"/>
    <w:rsid w:val="00342763"/>
    <w:rsid w:val="00372F6D"/>
    <w:rsid w:val="00375C8D"/>
    <w:rsid w:val="00396B18"/>
    <w:rsid w:val="003F6C99"/>
    <w:rsid w:val="003F7B79"/>
    <w:rsid w:val="0043374F"/>
    <w:rsid w:val="00436F47"/>
    <w:rsid w:val="00441547"/>
    <w:rsid w:val="00455502"/>
    <w:rsid w:val="004635D8"/>
    <w:rsid w:val="004C01CD"/>
    <w:rsid w:val="004E4CCD"/>
    <w:rsid w:val="004F084D"/>
    <w:rsid w:val="004F5AD8"/>
    <w:rsid w:val="00507F37"/>
    <w:rsid w:val="00511ED9"/>
    <w:rsid w:val="0051331A"/>
    <w:rsid w:val="00520B71"/>
    <w:rsid w:val="0052320D"/>
    <w:rsid w:val="005339BF"/>
    <w:rsid w:val="0055206E"/>
    <w:rsid w:val="005957A9"/>
    <w:rsid w:val="005B510C"/>
    <w:rsid w:val="005C1983"/>
    <w:rsid w:val="006034DF"/>
    <w:rsid w:val="00607D09"/>
    <w:rsid w:val="00662E58"/>
    <w:rsid w:val="006678A7"/>
    <w:rsid w:val="00685D30"/>
    <w:rsid w:val="006B36C0"/>
    <w:rsid w:val="006B3C0F"/>
    <w:rsid w:val="00701B8C"/>
    <w:rsid w:val="0071376F"/>
    <w:rsid w:val="00745E9F"/>
    <w:rsid w:val="00751A11"/>
    <w:rsid w:val="007640D8"/>
    <w:rsid w:val="00794FCE"/>
    <w:rsid w:val="00795AD4"/>
    <w:rsid w:val="00796E37"/>
    <w:rsid w:val="007B3CAC"/>
    <w:rsid w:val="007D4DB2"/>
    <w:rsid w:val="007E4632"/>
    <w:rsid w:val="007F4E83"/>
    <w:rsid w:val="007F6426"/>
    <w:rsid w:val="007F64AD"/>
    <w:rsid w:val="00833A59"/>
    <w:rsid w:val="00852C53"/>
    <w:rsid w:val="00866332"/>
    <w:rsid w:val="0087712D"/>
    <w:rsid w:val="00884F33"/>
    <w:rsid w:val="00892F06"/>
    <w:rsid w:val="008A2350"/>
    <w:rsid w:val="009359C8"/>
    <w:rsid w:val="00944753"/>
    <w:rsid w:val="00962703"/>
    <w:rsid w:val="00995723"/>
    <w:rsid w:val="009E4E8E"/>
    <w:rsid w:val="00A04F56"/>
    <w:rsid w:val="00A101C3"/>
    <w:rsid w:val="00A11BB3"/>
    <w:rsid w:val="00A1552C"/>
    <w:rsid w:val="00A41464"/>
    <w:rsid w:val="00A42454"/>
    <w:rsid w:val="00A523BC"/>
    <w:rsid w:val="00A807B0"/>
    <w:rsid w:val="00A86DEC"/>
    <w:rsid w:val="00A86E54"/>
    <w:rsid w:val="00AA20CE"/>
    <w:rsid w:val="00AA4DA9"/>
    <w:rsid w:val="00AA4EB4"/>
    <w:rsid w:val="00AB3AD1"/>
    <w:rsid w:val="00AD313B"/>
    <w:rsid w:val="00AF3F6A"/>
    <w:rsid w:val="00B10411"/>
    <w:rsid w:val="00B2002D"/>
    <w:rsid w:val="00B570EF"/>
    <w:rsid w:val="00B578E8"/>
    <w:rsid w:val="00B8758F"/>
    <w:rsid w:val="00B97843"/>
    <w:rsid w:val="00B97C01"/>
    <w:rsid w:val="00BA1026"/>
    <w:rsid w:val="00BB44B7"/>
    <w:rsid w:val="00BD6E43"/>
    <w:rsid w:val="00BE1AC1"/>
    <w:rsid w:val="00BF4891"/>
    <w:rsid w:val="00C260D0"/>
    <w:rsid w:val="00C30222"/>
    <w:rsid w:val="00C34D69"/>
    <w:rsid w:val="00C45983"/>
    <w:rsid w:val="00C81CD2"/>
    <w:rsid w:val="00C855AD"/>
    <w:rsid w:val="00C87CE1"/>
    <w:rsid w:val="00CA18F5"/>
    <w:rsid w:val="00CB4655"/>
    <w:rsid w:val="00CD3EB8"/>
    <w:rsid w:val="00CE56F9"/>
    <w:rsid w:val="00D4773C"/>
    <w:rsid w:val="00D55B69"/>
    <w:rsid w:val="00D6119C"/>
    <w:rsid w:val="00D62DBF"/>
    <w:rsid w:val="00D71184"/>
    <w:rsid w:val="00D81DD0"/>
    <w:rsid w:val="00E16E20"/>
    <w:rsid w:val="00E24BBC"/>
    <w:rsid w:val="00E30877"/>
    <w:rsid w:val="00E600BB"/>
    <w:rsid w:val="00E62238"/>
    <w:rsid w:val="00E73ABA"/>
    <w:rsid w:val="00E773A1"/>
    <w:rsid w:val="00E939D0"/>
    <w:rsid w:val="00E93A29"/>
    <w:rsid w:val="00E9529A"/>
    <w:rsid w:val="00EB568A"/>
    <w:rsid w:val="00ED24C2"/>
    <w:rsid w:val="00ED3BBE"/>
    <w:rsid w:val="00ED64CA"/>
    <w:rsid w:val="00EE10D8"/>
    <w:rsid w:val="00EF713F"/>
    <w:rsid w:val="00F1080F"/>
    <w:rsid w:val="00F5003F"/>
    <w:rsid w:val="00F63F48"/>
    <w:rsid w:val="00F723E2"/>
    <w:rsid w:val="00FB1945"/>
    <w:rsid w:val="00FB7141"/>
    <w:rsid w:val="00FE20D3"/>
    <w:rsid w:val="06B47275"/>
    <w:rsid w:val="127163F8"/>
    <w:rsid w:val="2DDA55FA"/>
    <w:rsid w:val="336C778F"/>
    <w:rsid w:val="3D963C47"/>
    <w:rsid w:val="49B45FAF"/>
    <w:rsid w:val="5975226F"/>
    <w:rsid w:val="5A590A16"/>
    <w:rsid w:val="621E567D"/>
    <w:rsid w:val="6AB20C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76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1376F"/>
    <w:pPr>
      <w:jc w:val="left"/>
    </w:pPr>
  </w:style>
  <w:style w:type="paragraph" w:styleId="a4">
    <w:name w:val="Balloon Text"/>
    <w:basedOn w:val="a"/>
    <w:link w:val="Char0"/>
    <w:uiPriority w:val="99"/>
    <w:semiHidden/>
    <w:unhideWhenUsed/>
    <w:qFormat/>
    <w:rsid w:val="0071376F"/>
    <w:rPr>
      <w:sz w:val="18"/>
      <w:szCs w:val="18"/>
    </w:rPr>
  </w:style>
  <w:style w:type="paragraph" w:styleId="a5">
    <w:name w:val="footer"/>
    <w:basedOn w:val="a"/>
    <w:link w:val="Char1"/>
    <w:uiPriority w:val="99"/>
    <w:unhideWhenUsed/>
    <w:qFormat/>
    <w:rsid w:val="0071376F"/>
    <w:pPr>
      <w:tabs>
        <w:tab w:val="center" w:pos="4153"/>
        <w:tab w:val="right" w:pos="8306"/>
      </w:tabs>
      <w:snapToGrid w:val="0"/>
      <w:jc w:val="left"/>
    </w:pPr>
    <w:rPr>
      <w:sz w:val="18"/>
      <w:szCs w:val="18"/>
    </w:rPr>
  </w:style>
  <w:style w:type="paragraph" w:styleId="a6">
    <w:name w:val="header"/>
    <w:basedOn w:val="a"/>
    <w:link w:val="Char2"/>
    <w:uiPriority w:val="99"/>
    <w:unhideWhenUsed/>
    <w:rsid w:val="0071376F"/>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71376F"/>
    <w:rPr>
      <w:b/>
      <w:bCs/>
    </w:rPr>
  </w:style>
  <w:style w:type="table" w:styleId="a8">
    <w:name w:val="Table Grid"/>
    <w:basedOn w:val="a1"/>
    <w:uiPriority w:val="39"/>
    <w:qFormat/>
    <w:rsid w:val="00713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71376F"/>
    <w:rPr>
      <w:sz w:val="21"/>
      <w:szCs w:val="21"/>
    </w:rPr>
  </w:style>
  <w:style w:type="character" w:customStyle="1" w:styleId="Char2">
    <w:name w:val="页眉 Char"/>
    <w:basedOn w:val="a0"/>
    <w:link w:val="a6"/>
    <w:uiPriority w:val="99"/>
    <w:qFormat/>
    <w:rsid w:val="0071376F"/>
    <w:rPr>
      <w:sz w:val="18"/>
      <w:szCs w:val="18"/>
    </w:rPr>
  </w:style>
  <w:style w:type="character" w:customStyle="1" w:styleId="Char1">
    <w:name w:val="页脚 Char"/>
    <w:basedOn w:val="a0"/>
    <w:link w:val="a5"/>
    <w:uiPriority w:val="99"/>
    <w:qFormat/>
    <w:rsid w:val="0071376F"/>
    <w:rPr>
      <w:sz w:val="18"/>
      <w:szCs w:val="18"/>
    </w:rPr>
  </w:style>
  <w:style w:type="character" w:customStyle="1" w:styleId="Char">
    <w:name w:val="批注文字 Char"/>
    <w:basedOn w:val="a0"/>
    <w:link w:val="a3"/>
    <w:uiPriority w:val="99"/>
    <w:semiHidden/>
    <w:qFormat/>
    <w:rsid w:val="0071376F"/>
  </w:style>
  <w:style w:type="character" w:customStyle="1" w:styleId="Char3">
    <w:name w:val="批注主题 Char"/>
    <w:basedOn w:val="Char"/>
    <w:link w:val="a7"/>
    <w:uiPriority w:val="99"/>
    <w:semiHidden/>
    <w:qFormat/>
    <w:rsid w:val="0071376F"/>
    <w:rPr>
      <w:b/>
      <w:bCs/>
    </w:rPr>
  </w:style>
  <w:style w:type="character" w:customStyle="1" w:styleId="Char0">
    <w:name w:val="批注框文本 Char"/>
    <w:basedOn w:val="a0"/>
    <w:link w:val="a4"/>
    <w:uiPriority w:val="99"/>
    <w:semiHidden/>
    <w:qFormat/>
    <w:rsid w:val="0071376F"/>
    <w:rPr>
      <w:sz w:val="18"/>
      <w:szCs w:val="18"/>
    </w:rPr>
  </w:style>
  <w:style w:type="paragraph" w:customStyle="1" w:styleId="1">
    <w:name w:val="修订1"/>
    <w:hidden/>
    <w:uiPriority w:val="99"/>
    <w:semiHidden/>
    <w:qFormat/>
    <w:rsid w:val="0071376F"/>
    <w:rPr>
      <w:rFonts w:asciiTheme="minorHAnsi" w:eastAsiaTheme="minorEastAsia" w:hAnsiTheme="minorHAnsi" w:cstheme="minorBidi"/>
      <w:kern w:val="2"/>
      <w:sz w:val="21"/>
      <w:szCs w:val="22"/>
    </w:rPr>
  </w:style>
  <w:style w:type="character" w:customStyle="1" w:styleId="font2">
    <w:name w:val="font2"/>
    <w:basedOn w:val="a0"/>
    <w:qFormat/>
    <w:rsid w:val="0071376F"/>
  </w:style>
  <w:style w:type="character" w:customStyle="1" w:styleId="font0">
    <w:name w:val="font0"/>
    <w:basedOn w:val="a0"/>
    <w:qFormat/>
    <w:rsid w:val="0071376F"/>
  </w:style>
  <w:style w:type="character" w:customStyle="1" w:styleId="font11">
    <w:name w:val="font11"/>
    <w:basedOn w:val="a0"/>
    <w:qFormat/>
    <w:rsid w:val="0071376F"/>
    <w:rPr>
      <w:rFonts w:ascii="宋体" w:eastAsia="宋体" w:hAnsi="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1292</Characters>
  <Application>Microsoft Office Word</Application>
  <DocSecurity>4</DocSecurity>
  <Lines>10</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sundongni</dc:creator>
  <cp:lastModifiedBy>ZHONGM</cp:lastModifiedBy>
  <cp:revision>2</cp:revision>
  <dcterms:created xsi:type="dcterms:W3CDTF">2023-12-21T16:00:00Z</dcterms:created>
  <dcterms:modified xsi:type="dcterms:W3CDTF">2023-12-21T16:00:00Z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D11B1A7DFA264447B7FB2C6B0E1560E9</vt:lpwstr>
  </property>
</Properties>
</file>