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B1" w:rsidRDefault="000B35B1" w:rsidP="00B71894">
      <w:pPr>
        <w:spacing w:line="360" w:lineRule="auto"/>
        <w:jc w:val="center"/>
        <w:rPr>
          <w:rFonts w:ascii="仿宋" w:eastAsia="仿宋" w:hAnsi="仿宋" w:cs="Times New Roman"/>
          <w:b/>
          <w:sz w:val="30"/>
          <w:szCs w:val="30"/>
        </w:rPr>
      </w:pPr>
      <w:r w:rsidRPr="000B35B1">
        <w:rPr>
          <w:rFonts w:ascii="仿宋" w:eastAsia="仿宋" w:hAnsi="仿宋" w:cs="Times New Roman" w:hint="eastAsia"/>
          <w:b/>
          <w:sz w:val="30"/>
          <w:szCs w:val="30"/>
        </w:rPr>
        <w:t>关于增加宁波银行股份有限公司为旗下</w:t>
      </w:r>
    </w:p>
    <w:p w:rsidR="00B70287" w:rsidRDefault="000B35B1" w:rsidP="00B71894">
      <w:pPr>
        <w:spacing w:line="360" w:lineRule="auto"/>
        <w:jc w:val="center"/>
        <w:rPr>
          <w:rFonts w:ascii="仿宋" w:eastAsia="仿宋" w:hAnsi="仿宋" w:cs="Times New Roman"/>
          <w:b/>
          <w:sz w:val="30"/>
          <w:szCs w:val="30"/>
        </w:rPr>
      </w:pPr>
      <w:r w:rsidRPr="000B35B1">
        <w:rPr>
          <w:rFonts w:ascii="仿宋" w:eastAsia="仿宋" w:hAnsi="仿宋" w:cs="Times New Roman" w:hint="eastAsia"/>
          <w:b/>
          <w:sz w:val="30"/>
          <w:szCs w:val="30"/>
        </w:rPr>
        <w:t>部分基金销售机构的公告</w:t>
      </w:r>
    </w:p>
    <w:p w:rsidR="000B35B1" w:rsidRPr="000B35B1" w:rsidRDefault="000B35B1" w:rsidP="00B71894">
      <w:pPr>
        <w:spacing w:line="360" w:lineRule="auto"/>
        <w:jc w:val="center"/>
        <w:rPr>
          <w:rFonts w:ascii="仿宋" w:eastAsia="仿宋" w:hAnsi="仿宋" w:cs="Times New Roman"/>
          <w:b/>
          <w:sz w:val="30"/>
          <w:szCs w:val="30"/>
        </w:rPr>
      </w:pPr>
    </w:p>
    <w:p w:rsidR="00144818" w:rsidRDefault="00B70287" w:rsidP="00144818">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sidR="001A4A98">
        <w:rPr>
          <w:rFonts w:ascii="仿宋" w:eastAsia="仿宋" w:hAnsi="仿宋" w:cs="Times New Roman" w:hint="eastAsia"/>
          <w:color w:val="000000"/>
          <w:kern w:val="0"/>
          <w:sz w:val="24"/>
          <w:szCs w:val="24"/>
        </w:rPr>
        <w:t>宁波</w:t>
      </w:r>
      <w:r w:rsidR="008D397C" w:rsidRPr="008D397C">
        <w:rPr>
          <w:rFonts w:ascii="仿宋" w:eastAsia="仿宋" w:hAnsi="仿宋" w:cs="Times New Roman" w:hint="eastAsia"/>
          <w:color w:val="000000"/>
          <w:kern w:val="0"/>
          <w:sz w:val="24"/>
          <w:szCs w:val="24"/>
        </w:rPr>
        <w:t>银行股份有限公司</w:t>
      </w:r>
      <w:r w:rsidR="00B71894">
        <w:rPr>
          <w:rFonts w:ascii="仿宋" w:eastAsia="仿宋" w:hAnsi="仿宋" w:cs="Times New Roman" w:hint="eastAsia"/>
          <w:color w:val="000000"/>
          <w:kern w:val="0"/>
          <w:sz w:val="24"/>
          <w:szCs w:val="24"/>
        </w:rPr>
        <w:t>（以下简称“</w:t>
      </w:r>
      <w:r w:rsidR="001A4A98">
        <w:rPr>
          <w:rFonts w:ascii="仿宋" w:eastAsia="仿宋" w:hAnsi="仿宋" w:cs="Times New Roman" w:hint="eastAsia"/>
          <w:color w:val="000000"/>
          <w:kern w:val="0"/>
          <w:sz w:val="24"/>
          <w:szCs w:val="24"/>
        </w:rPr>
        <w:t>宁波</w:t>
      </w:r>
      <w:r w:rsidR="008D397C">
        <w:rPr>
          <w:rFonts w:ascii="仿宋" w:eastAsia="仿宋" w:hAnsi="仿宋" w:cs="Times New Roman" w:hint="eastAsia"/>
          <w:color w:val="000000"/>
          <w:kern w:val="0"/>
          <w:sz w:val="24"/>
          <w:szCs w:val="24"/>
        </w:rPr>
        <w:t>银行</w:t>
      </w:r>
      <w:r>
        <w:rPr>
          <w:rFonts w:ascii="仿宋" w:eastAsia="仿宋" w:hAnsi="仿宋" w:cs="Times New Roman" w:hint="eastAsia"/>
          <w:color w:val="000000"/>
          <w:kern w:val="0"/>
          <w:sz w:val="24"/>
          <w:szCs w:val="24"/>
        </w:rPr>
        <w:t>”）签订的销售协议，</w:t>
      </w:r>
      <w:r w:rsidRPr="000D4F79">
        <w:rPr>
          <w:rFonts w:ascii="仿宋" w:eastAsia="仿宋" w:hAnsi="仿宋" w:cs="Times New Roman" w:hint="eastAsia"/>
          <w:color w:val="000000"/>
          <w:kern w:val="0"/>
          <w:sz w:val="24"/>
          <w:szCs w:val="24"/>
        </w:rPr>
        <w:t>自</w:t>
      </w:r>
      <w:r w:rsidR="00D45BEC" w:rsidRPr="00616068">
        <w:rPr>
          <w:rFonts w:ascii="仿宋" w:eastAsia="仿宋" w:hAnsi="仿宋" w:cs="Times New Roman" w:hint="eastAsia"/>
          <w:color w:val="000000"/>
          <w:kern w:val="0"/>
          <w:sz w:val="24"/>
          <w:szCs w:val="24"/>
        </w:rPr>
        <w:t>2023年</w:t>
      </w:r>
      <w:r w:rsidR="00E06E52" w:rsidRPr="00616068">
        <w:rPr>
          <w:rFonts w:ascii="仿宋" w:eastAsia="仿宋" w:hAnsi="仿宋" w:cs="Times New Roman"/>
          <w:color w:val="000000"/>
          <w:kern w:val="0"/>
          <w:sz w:val="24"/>
          <w:szCs w:val="24"/>
        </w:rPr>
        <w:t>1</w:t>
      </w:r>
      <w:r w:rsidR="008D397C" w:rsidRPr="00616068">
        <w:rPr>
          <w:rFonts w:ascii="仿宋" w:eastAsia="仿宋" w:hAnsi="仿宋" w:cs="Times New Roman"/>
          <w:color w:val="000000"/>
          <w:kern w:val="0"/>
          <w:sz w:val="24"/>
          <w:szCs w:val="24"/>
        </w:rPr>
        <w:t>2</w:t>
      </w:r>
      <w:r w:rsidR="00D45BEC" w:rsidRPr="00616068">
        <w:rPr>
          <w:rFonts w:ascii="仿宋" w:eastAsia="仿宋" w:hAnsi="仿宋" w:cs="Times New Roman" w:hint="eastAsia"/>
          <w:color w:val="000000"/>
          <w:kern w:val="0"/>
          <w:sz w:val="24"/>
          <w:szCs w:val="24"/>
        </w:rPr>
        <w:t>月</w:t>
      </w:r>
      <w:r w:rsidR="000B35B1">
        <w:rPr>
          <w:rFonts w:ascii="仿宋" w:eastAsia="仿宋" w:hAnsi="仿宋" w:cs="Times New Roman"/>
          <w:color w:val="000000"/>
          <w:kern w:val="0"/>
          <w:sz w:val="24"/>
          <w:szCs w:val="24"/>
        </w:rPr>
        <w:t>22</w:t>
      </w:r>
      <w:r w:rsidR="00D45BEC" w:rsidRPr="00616068">
        <w:rPr>
          <w:rFonts w:ascii="仿宋" w:eastAsia="仿宋" w:hAnsi="仿宋" w:cs="Times New Roman" w:hint="eastAsia"/>
          <w:color w:val="000000"/>
          <w:kern w:val="0"/>
          <w:sz w:val="24"/>
          <w:szCs w:val="24"/>
        </w:rPr>
        <w:t>日</w:t>
      </w:r>
      <w:r w:rsidRPr="000D4F79">
        <w:rPr>
          <w:rFonts w:ascii="仿宋" w:eastAsia="仿宋" w:hAnsi="仿宋" w:cs="Times New Roman" w:hint="eastAsia"/>
          <w:color w:val="000000"/>
          <w:kern w:val="0"/>
          <w:sz w:val="24"/>
          <w:szCs w:val="24"/>
        </w:rPr>
        <w:t>起，本公司增加</w:t>
      </w:r>
      <w:r w:rsidR="001A4A98">
        <w:rPr>
          <w:rFonts w:ascii="仿宋" w:eastAsia="仿宋" w:hAnsi="仿宋" w:cs="Times New Roman" w:hint="eastAsia"/>
          <w:color w:val="000000"/>
          <w:kern w:val="0"/>
          <w:sz w:val="24"/>
          <w:szCs w:val="24"/>
        </w:rPr>
        <w:t>宁波</w:t>
      </w:r>
      <w:r w:rsidR="008D397C">
        <w:rPr>
          <w:rFonts w:ascii="仿宋" w:eastAsia="仿宋" w:hAnsi="仿宋" w:cs="Times New Roman" w:hint="eastAsia"/>
          <w:color w:val="000000"/>
          <w:kern w:val="0"/>
          <w:sz w:val="24"/>
          <w:szCs w:val="24"/>
        </w:rPr>
        <w:t>银行</w:t>
      </w:r>
      <w:r w:rsidRPr="000D4F79">
        <w:rPr>
          <w:rFonts w:ascii="仿宋" w:eastAsia="仿宋" w:hAnsi="仿宋" w:cs="Times New Roman" w:hint="eastAsia"/>
          <w:color w:val="000000"/>
          <w:kern w:val="0"/>
          <w:sz w:val="24"/>
          <w:szCs w:val="24"/>
        </w:rPr>
        <w:t>为</w:t>
      </w:r>
      <w:r w:rsidR="00E97557" w:rsidRPr="000D4F79">
        <w:rPr>
          <w:rFonts w:ascii="仿宋" w:eastAsia="仿宋" w:hAnsi="仿宋" w:hint="eastAsia"/>
          <w:sz w:val="24"/>
          <w:szCs w:val="24"/>
        </w:rPr>
        <w:t>旗下部分基金</w:t>
      </w:r>
      <w:r w:rsidR="00E97557" w:rsidRPr="000D4F79">
        <w:rPr>
          <w:rFonts w:ascii="仿宋" w:eastAsia="仿宋" w:hAnsi="仿宋" w:cs="Times New Roman" w:hint="eastAsia"/>
          <w:color w:val="000000"/>
          <w:kern w:val="0"/>
          <w:sz w:val="24"/>
          <w:szCs w:val="24"/>
        </w:rPr>
        <w:t>的销售机构</w:t>
      </w:r>
      <w:r w:rsidR="00144818">
        <w:rPr>
          <w:rFonts w:ascii="仿宋" w:eastAsia="仿宋" w:hAnsi="仿宋" w:cs="Times New Roman" w:hint="eastAsia"/>
          <w:color w:val="000000"/>
          <w:kern w:val="0"/>
          <w:sz w:val="24"/>
          <w:szCs w:val="24"/>
        </w:rPr>
        <w:t>。</w:t>
      </w:r>
    </w:p>
    <w:p w:rsidR="00B70287" w:rsidRDefault="00B70287" w:rsidP="00B70287">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现将具体有关事项公告如下：</w:t>
      </w:r>
    </w:p>
    <w:p w:rsidR="00B71894" w:rsidRPr="000B35B1" w:rsidRDefault="000B35B1" w:rsidP="008A4FF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一、</w:t>
      </w:r>
      <w:r w:rsidR="00B70287" w:rsidRPr="000B35B1">
        <w:rPr>
          <w:rFonts w:ascii="仿宋" w:eastAsia="仿宋" w:hAnsi="仿宋" w:cs="Times New Roman"/>
          <w:b/>
          <w:sz w:val="24"/>
          <w:szCs w:val="24"/>
        </w:rPr>
        <w:t>适用基金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3260"/>
        <w:gridCol w:w="1497"/>
      </w:tblGrid>
      <w:tr w:rsidR="000B35B1" w:rsidRPr="000B35B1" w:rsidTr="000B35B1">
        <w:trPr>
          <w:trHeight w:val="270"/>
        </w:trPr>
        <w:tc>
          <w:tcPr>
            <w:tcW w:w="3539" w:type="dxa"/>
            <w:shd w:val="clear" w:color="auto" w:fill="auto"/>
            <w:noWrap/>
            <w:vAlign w:val="center"/>
            <w:hideMark/>
          </w:tcPr>
          <w:p w:rsidR="000B35B1" w:rsidRPr="000B35B1" w:rsidRDefault="000B35B1" w:rsidP="000B35B1">
            <w:pPr>
              <w:widowControl/>
              <w:jc w:val="left"/>
              <w:rPr>
                <w:rFonts w:ascii="仿宋" w:eastAsia="仿宋" w:hAnsi="仿宋" w:cs="宋体"/>
                <w:b/>
                <w:color w:val="000000"/>
                <w:kern w:val="0"/>
                <w:sz w:val="24"/>
                <w:szCs w:val="24"/>
              </w:rPr>
            </w:pPr>
            <w:r w:rsidRPr="000B35B1">
              <w:rPr>
                <w:rFonts w:ascii="仿宋" w:eastAsia="仿宋" w:hAnsi="仿宋" w:cs="宋体" w:hint="eastAsia"/>
                <w:b/>
                <w:color w:val="000000"/>
                <w:kern w:val="0"/>
                <w:sz w:val="24"/>
                <w:szCs w:val="24"/>
              </w:rPr>
              <w:t>基金名称</w:t>
            </w:r>
          </w:p>
        </w:tc>
        <w:tc>
          <w:tcPr>
            <w:tcW w:w="3260" w:type="dxa"/>
            <w:shd w:val="clear" w:color="auto" w:fill="auto"/>
            <w:noWrap/>
            <w:vAlign w:val="center"/>
            <w:hideMark/>
          </w:tcPr>
          <w:p w:rsidR="000B35B1" w:rsidRPr="000B35B1" w:rsidRDefault="000B35B1" w:rsidP="000B35B1">
            <w:pPr>
              <w:widowControl/>
              <w:jc w:val="left"/>
              <w:rPr>
                <w:rFonts w:ascii="仿宋" w:eastAsia="仿宋" w:hAnsi="仿宋" w:cs="宋体"/>
                <w:b/>
                <w:color w:val="000000"/>
                <w:kern w:val="0"/>
                <w:sz w:val="24"/>
                <w:szCs w:val="24"/>
              </w:rPr>
            </w:pPr>
            <w:r w:rsidRPr="000B35B1">
              <w:rPr>
                <w:rFonts w:ascii="仿宋" w:eastAsia="仿宋" w:hAnsi="仿宋" w:cs="宋体" w:hint="eastAsia"/>
                <w:b/>
                <w:color w:val="000000"/>
                <w:kern w:val="0"/>
                <w:sz w:val="24"/>
                <w:szCs w:val="24"/>
              </w:rPr>
              <w:t>基金简称</w:t>
            </w:r>
          </w:p>
        </w:tc>
        <w:tc>
          <w:tcPr>
            <w:tcW w:w="1497" w:type="dxa"/>
            <w:shd w:val="clear" w:color="auto" w:fill="auto"/>
            <w:noWrap/>
            <w:vAlign w:val="center"/>
            <w:hideMark/>
          </w:tcPr>
          <w:p w:rsidR="000B35B1" w:rsidRPr="000B35B1" w:rsidRDefault="000B35B1" w:rsidP="000B35B1">
            <w:pPr>
              <w:widowControl/>
              <w:jc w:val="left"/>
              <w:rPr>
                <w:rFonts w:ascii="仿宋" w:eastAsia="仿宋" w:hAnsi="仿宋" w:cs="宋体"/>
                <w:b/>
                <w:color w:val="000000"/>
                <w:kern w:val="0"/>
                <w:sz w:val="24"/>
                <w:szCs w:val="24"/>
              </w:rPr>
            </w:pPr>
            <w:r w:rsidRPr="000B35B1">
              <w:rPr>
                <w:rFonts w:ascii="仿宋" w:eastAsia="仿宋" w:hAnsi="仿宋" w:cs="宋体" w:hint="eastAsia"/>
                <w:b/>
                <w:color w:val="000000"/>
                <w:kern w:val="0"/>
                <w:sz w:val="24"/>
                <w:szCs w:val="24"/>
              </w:rPr>
              <w:t>基金代码</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widowControl/>
              <w:jc w:val="left"/>
              <w:rPr>
                <w:rFonts w:ascii="仿宋" w:eastAsia="仿宋" w:hAnsi="仿宋"/>
                <w:color w:val="000000"/>
                <w:sz w:val="24"/>
                <w:szCs w:val="24"/>
              </w:rPr>
            </w:pPr>
            <w:r w:rsidRPr="00DD6D04">
              <w:rPr>
                <w:rFonts w:ascii="仿宋" w:eastAsia="仿宋" w:hAnsi="仿宋" w:hint="eastAsia"/>
                <w:color w:val="000000"/>
                <w:sz w:val="24"/>
                <w:szCs w:val="24"/>
              </w:rPr>
              <w:t>兴证全球优选平衡三个月持有期混合型基金中基金(FOF)</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兴证全球优选平衡三个月持有混合FOF 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016460</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兴证全球恒信债券型证券投资基金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兴证全球恒信债券A</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016481</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兴证全球恒信债券型证券投资基金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兴证全球恒信债券C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016482</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兴证全球欣越混合型证券投资基金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兴证全球欣越混合A</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017826</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兴证全球欣越混合型证券投资基金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兴证全球欣越混合C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017827</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兴证全球优选积极三个月持有期混合型基金中基金(FOF)</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兴证全球优选积极三个月持有混合FOF A</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017844</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兴证全球优选积极三个月持有</w:t>
            </w:r>
            <w:r w:rsidRPr="00DD6D04">
              <w:rPr>
                <w:rFonts w:ascii="仿宋" w:eastAsia="仿宋" w:hAnsi="仿宋" w:hint="eastAsia"/>
                <w:color w:val="000000"/>
                <w:sz w:val="24"/>
                <w:szCs w:val="24"/>
              </w:rPr>
              <w:lastRenderedPageBreak/>
              <w:t>期混合型基金中基金(FOF)</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lastRenderedPageBreak/>
              <w:t>兴证全球优选积极三个月持</w:t>
            </w:r>
            <w:r w:rsidRPr="00DD6D04">
              <w:rPr>
                <w:rFonts w:ascii="仿宋" w:eastAsia="仿宋" w:hAnsi="仿宋" w:hint="eastAsia"/>
                <w:color w:val="000000"/>
                <w:sz w:val="24"/>
                <w:szCs w:val="24"/>
              </w:rPr>
              <w:lastRenderedPageBreak/>
              <w:t>有混合FOF 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lastRenderedPageBreak/>
              <w:t>017845</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lastRenderedPageBreak/>
              <w:t>兴证全球恒远债券型证券投资基金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兴证全球恒远债券A</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018196</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兴证全球恒远债券型证券投资基金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兴证全球恒远债券C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018197</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兴证全球招益债券型证券投资基金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兴证全球招益债券A</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018597</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兴证全球招益债券型证券投资基金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兴证全球招益债券C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018598</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兴证全球兴晨六个月持有期混合型证券投资基金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兴证全球兴晨六个月持有混合A</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018620</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兴证全球兴晨六个月持有期混合型证券投资基金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兴证全球兴晨六个月持有混合C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018621</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兴证全球品质甄选混合型证券投资基金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兴证全球品质甄选混合A</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018868</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兴证全球品质甄选混合型证券投资基金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兴证全球品质甄选混合C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018869</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兴全合兴混合型证券投资基金(LOF)</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兴全合兴混合（LOF）C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010670</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兴证全球恒荣债券型证券投资基金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兴证全球恒荣债券A</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019063</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兴证全球恒荣债券型证券投资</w:t>
            </w:r>
            <w:r w:rsidRPr="00DD6D04">
              <w:rPr>
                <w:rFonts w:ascii="仿宋" w:eastAsia="仿宋" w:hAnsi="仿宋" w:hint="eastAsia"/>
                <w:color w:val="000000"/>
                <w:sz w:val="24"/>
                <w:szCs w:val="24"/>
              </w:rPr>
              <w:lastRenderedPageBreak/>
              <w:t>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lastRenderedPageBreak/>
              <w:t>兴证全球恒荣债券C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019064</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lastRenderedPageBreak/>
              <w:t>兴证全球恒盛90天持有期债券型证券投资基金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兴证全球恒盛90天持有债券A</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018691</w:t>
            </w:r>
          </w:p>
        </w:tc>
      </w:tr>
      <w:tr w:rsidR="00DD6D04" w:rsidRPr="000B35B1" w:rsidTr="000B35B1">
        <w:trPr>
          <w:trHeight w:val="270"/>
        </w:trPr>
        <w:tc>
          <w:tcPr>
            <w:tcW w:w="3539"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兴证全球恒盛90天持有期债券型证券投资基金</w:t>
            </w:r>
          </w:p>
        </w:tc>
        <w:tc>
          <w:tcPr>
            <w:tcW w:w="3260"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兴证全球恒盛90天持有债券C</w:t>
            </w:r>
          </w:p>
        </w:tc>
        <w:tc>
          <w:tcPr>
            <w:tcW w:w="1497" w:type="dxa"/>
            <w:shd w:val="clear" w:color="auto" w:fill="auto"/>
            <w:noWrap/>
            <w:vAlign w:val="center"/>
            <w:hideMark/>
          </w:tcPr>
          <w:p w:rsidR="00DD6D04" w:rsidRPr="00DD6D04" w:rsidRDefault="00DD6D04" w:rsidP="00DD6D04">
            <w:pPr>
              <w:rPr>
                <w:rFonts w:ascii="仿宋" w:eastAsia="仿宋" w:hAnsi="仿宋"/>
                <w:color w:val="000000"/>
                <w:sz w:val="24"/>
                <w:szCs w:val="24"/>
              </w:rPr>
            </w:pPr>
            <w:r w:rsidRPr="00DD6D04">
              <w:rPr>
                <w:rFonts w:ascii="仿宋" w:eastAsia="仿宋" w:hAnsi="仿宋" w:hint="eastAsia"/>
                <w:color w:val="000000"/>
                <w:sz w:val="24"/>
                <w:szCs w:val="24"/>
              </w:rPr>
              <w:t>018692</w:t>
            </w:r>
          </w:p>
        </w:tc>
      </w:tr>
    </w:tbl>
    <w:p w:rsidR="0015369F" w:rsidRPr="00536A92" w:rsidRDefault="0015369F" w:rsidP="00334700">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注：本公司与</w:t>
      </w:r>
      <w:r w:rsidR="001A4A98">
        <w:rPr>
          <w:rFonts w:ascii="仿宋" w:eastAsia="仿宋" w:hAnsi="仿宋" w:cs="Times New Roman" w:hint="eastAsia"/>
          <w:color w:val="000000"/>
          <w:kern w:val="0"/>
          <w:sz w:val="20"/>
          <w:szCs w:val="24"/>
        </w:rPr>
        <w:t>宁波</w:t>
      </w:r>
      <w:r w:rsidR="008D397C">
        <w:rPr>
          <w:rFonts w:ascii="仿宋" w:eastAsia="仿宋" w:hAnsi="仿宋" w:cs="Times New Roman" w:hint="eastAsia"/>
          <w:color w:val="000000"/>
          <w:kern w:val="0"/>
          <w:sz w:val="20"/>
          <w:szCs w:val="24"/>
        </w:rPr>
        <w:t>银行</w:t>
      </w:r>
      <w:r w:rsidRPr="00536A92">
        <w:rPr>
          <w:rFonts w:ascii="仿宋" w:eastAsia="仿宋" w:hAnsi="仿宋" w:cs="Times New Roman" w:hint="eastAsia"/>
          <w:color w:val="000000"/>
          <w:kern w:val="0"/>
          <w:sz w:val="20"/>
          <w:szCs w:val="24"/>
        </w:rPr>
        <w:t>就</w:t>
      </w:r>
      <w:r w:rsidR="00E97557">
        <w:rPr>
          <w:rFonts w:ascii="仿宋" w:eastAsia="仿宋" w:hAnsi="仿宋" w:cs="Times New Roman" w:hint="eastAsia"/>
          <w:color w:val="000000"/>
          <w:kern w:val="0"/>
          <w:sz w:val="20"/>
          <w:szCs w:val="24"/>
        </w:rPr>
        <w:t>旗下部分基金</w:t>
      </w:r>
      <w:r w:rsidRPr="00536A92">
        <w:rPr>
          <w:rFonts w:ascii="仿宋" w:eastAsia="仿宋" w:hAnsi="仿宋" w:cs="Times New Roman" w:hint="eastAsia"/>
          <w:color w:val="000000"/>
          <w:kern w:val="0"/>
          <w:sz w:val="20"/>
          <w:szCs w:val="24"/>
        </w:rPr>
        <w:t>的销售建立代销关系，</w:t>
      </w:r>
      <w:r w:rsidR="00E97557">
        <w:rPr>
          <w:rFonts w:ascii="仿宋" w:eastAsia="仿宋" w:hAnsi="仿宋" w:cs="Times New Roman" w:hint="eastAsia"/>
          <w:color w:val="000000"/>
          <w:kern w:val="0"/>
          <w:sz w:val="20"/>
          <w:szCs w:val="24"/>
        </w:rPr>
        <w:t>旗下部分基金</w:t>
      </w:r>
      <w:r w:rsidRPr="00536A92">
        <w:rPr>
          <w:rFonts w:ascii="仿宋" w:eastAsia="仿宋" w:hAnsi="仿宋" w:cs="Times New Roman" w:hint="eastAsia"/>
          <w:color w:val="000000"/>
          <w:kern w:val="0"/>
          <w:sz w:val="20"/>
          <w:szCs w:val="24"/>
        </w:rPr>
        <w:t>的申购、赎回、定投、转换等业务的办理规则以相关基金的公告为准。</w:t>
      </w:r>
    </w:p>
    <w:p w:rsidR="0015369F" w:rsidRPr="001A4A98" w:rsidRDefault="0015369F" w:rsidP="0015369F">
      <w:pPr>
        <w:spacing w:line="360" w:lineRule="auto"/>
        <w:ind w:firstLineChars="200" w:firstLine="480"/>
        <w:jc w:val="left"/>
        <w:rPr>
          <w:rFonts w:ascii="仿宋" w:eastAsia="仿宋" w:hAnsi="仿宋" w:cs="Times New Roman"/>
          <w:color w:val="000000"/>
          <w:kern w:val="0"/>
          <w:sz w:val="24"/>
          <w:szCs w:val="24"/>
        </w:rPr>
      </w:pPr>
    </w:p>
    <w:p w:rsidR="00CF5989" w:rsidRPr="00CF5989" w:rsidRDefault="00CF5989" w:rsidP="008A4FFC">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二、定期定额投资业务</w:t>
      </w:r>
    </w:p>
    <w:p w:rsidR="00CF5989" w:rsidRPr="00CF5989" w:rsidRDefault="00CF5989" w:rsidP="007A2AE6">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w:t>
      </w:r>
      <w:r w:rsidR="007A6684">
        <w:rPr>
          <w:rFonts w:ascii="仿宋" w:eastAsia="仿宋" w:hAnsi="仿宋" w:cs="Times New Roman" w:hint="eastAsia"/>
          <w:color w:val="000000"/>
          <w:kern w:val="0"/>
          <w:sz w:val="24"/>
          <w:szCs w:val="24"/>
        </w:rPr>
        <w:t>凡申请办理</w:t>
      </w:r>
      <w:r w:rsidR="00E97557">
        <w:rPr>
          <w:rFonts w:ascii="仿宋" w:eastAsia="仿宋" w:hAnsi="仿宋" w:cs="Times New Roman" w:hint="eastAsia"/>
          <w:color w:val="000000"/>
          <w:kern w:val="0"/>
          <w:sz w:val="24"/>
          <w:szCs w:val="24"/>
        </w:rPr>
        <w:t>旗下部分基金</w:t>
      </w:r>
      <w:r w:rsidR="007A6684">
        <w:rPr>
          <w:rFonts w:ascii="仿宋" w:eastAsia="仿宋" w:hAnsi="仿宋" w:cs="Times New Roman" w:hint="eastAsia"/>
          <w:color w:val="000000"/>
          <w:kern w:val="0"/>
          <w:sz w:val="24"/>
          <w:szCs w:val="24"/>
        </w:rPr>
        <w:t>定投业务的投资者，须开立本公司</w:t>
      </w:r>
      <w:r w:rsidR="007A2AE6" w:rsidRPr="007A2AE6">
        <w:rPr>
          <w:rFonts w:ascii="仿宋" w:eastAsia="仿宋" w:hAnsi="仿宋" w:cs="Times New Roman" w:hint="eastAsia"/>
          <w:color w:val="000000"/>
          <w:kern w:val="0"/>
          <w:sz w:val="24"/>
          <w:szCs w:val="24"/>
        </w:rPr>
        <w:t>和</w:t>
      </w:r>
      <w:r w:rsidR="007A2AE6" w:rsidRPr="007A2AE6">
        <w:rPr>
          <w:rFonts w:ascii="仿宋" w:eastAsia="仿宋" w:hAnsi="仿宋" w:cs="Times New Roman"/>
          <w:color w:val="000000"/>
          <w:kern w:val="0"/>
          <w:sz w:val="24"/>
          <w:szCs w:val="24"/>
        </w:rPr>
        <w:t>/或中国证券登</w:t>
      </w:r>
      <w:r w:rsidR="007A2AE6" w:rsidRPr="007A2AE6">
        <w:rPr>
          <w:rFonts w:ascii="仿宋" w:eastAsia="仿宋" w:hAnsi="仿宋" w:cs="Times New Roman" w:hint="eastAsia"/>
          <w:color w:val="000000"/>
          <w:kern w:val="0"/>
          <w:sz w:val="24"/>
          <w:szCs w:val="24"/>
        </w:rPr>
        <w:t>记结算有限责任公司</w:t>
      </w:r>
      <w:r w:rsidR="007A6684">
        <w:rPr>
          <w:rFonts w:ascii="仿宋" w:eastAsia="仿宋" w:hAnsi="仿宋" w:cs="Times New Roman" w:hint="eastAsia"/>
          <w:color w:val="000000"/>
          <w:kern w:val="0"/>
          <w:sz w:val="24"/>
          <w:szCs w:val="24"/>
        </w:rPr>
        <w:t>开放式基金账户，具体开户程序遵循</w:t>
      </w:r>
      <w:r w:rsidR="001A4A98">
        <w:rPr>
          <w:rFonts w:ascii="仿宋" w:eastAsia="仿宋" w:hAnsi="仿宋" w:cs="Times New Roman" w:hint="eastAsia"/>
          <w:color w:val="000000"/>
          <w:kern w:val="0"/>
          <w:sz w:val="24"/>
          <w:szCs w:val="24"/>
        </w:rPr>
        <w:t>宁波</w:t>
      </w:r>
      <w:r w:rsidR="008D397C">
        <w:rPr>
          <w:rFonts w:ascii="仿宋" w:eastAsia="仿宋" w:hAnsi="仿宋" w:cs="Times New Roman" w:hint="eastAsia"/>
          <w:color w:val="000000"/>
          <w:kern w:val="0"/>
          <w:sz w:val="24"/>
          <w:szCs w:val="24"/>
        </w:rPr>
        <w:t>银行</w:t>
      </w:r>
      <w:r w:rsidR="007A6684">
        <w:rPr>
          <w:rFonts w:ascii="仿宋" w:eastAsia="仿宋" w:hAnsi="仿宋" w:cs="Times New Roman" w:hint="eastAsia"/>
          <w:color w:val="000000"/>
          <w:kern w:val="0"/>
          <w:sz w:val="24"/>
          <w:szCs w:val="24"/>
        </w:rPr>
        <w:t>的相关规定。</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的每期扣款（申购）最低金额为人民币0.1元(含申购费)，具体办理要求以</w:t>
      </w:r>
      <w:r w:rsidR="001A4A98">
        <w:rPr>
          <w:rFonts w:ascii="仿宋" w:eastAsia="仿宋" w:hAnsi="仿宋" w:cs="Times New Roman" w:hint="eastAsia"/>
          <w:color w:val="000000"/>
          <w:kern w:val="0"/>
          <w:sz w:val="24"/>
          <w:szCs w:val="24"/>
        </w:rPr>
        <w:t>宁波</w:t>
      </w:r>
      <w:r w:rsidR="008D397C">
        <w:rPr>
          <w:rFonts w:ascii="仿宋" w:eastAsia="仿宋" w:hAnsi="仿宋" w:cs="Times New Roman" w:hint="eastAsia"/>
          <w:color w:val="000000"/>
          <w:kern w:val="0"/>
          <w:sz w:val="24"/>
          <w:szCs w:val="24"/>
        </w:rPr>
        <w:t>银行</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3、定期定额申购的申购费率和计费方式与日常申购业务相同，详见各相关基金的《招募说明书》（更新）。</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4、关于基金定期定额投资业务的具体规则，敬请投资者详细阅读本公司相关公告。</w:t>
      </w:r>
    </w:p>
    <w:p w:rsidR="008E4FF4" w:rsidRDefault="008E4FF4" w:rsidP="008E4FF4">
      <w:pPr>
        <w:spacing w:line="360" w:lineRule="auto"/>
        <w:jc w:val="left"/>
      </w:pPr>
    </w:p>
    <w:p w:rsidR="00CF5989" w:rsidRPr="00CF5989" w:rsidRDefault="00CF5989" w:rsidP="008A4FFC">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三、基金转换业务</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转换是指投资者可将其通过销售机构购买并持有的本公司旗下某只开放式基金的全部或部分基金份额，转换为本公司管理的，同一销售机构销售的且属同一注册登记机构的另一只开放式基金的份额的行为。</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转换费用由转出基金赎回费和转换补差费组成，即：基金转换费=转出基金赎回费+转换补差费。从申购费用低的基金向申购费用高的基金转换时，收取转换补差费；从申购费用高的基金向申购费用低的基金转换时，不收取转换补差费。</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3、基金管理人规定</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最低转换转出及最低持有份额为0.1份。在</w:t>
      </w:r>
      <w:r w:rsidR="001A4A98">
        <w:rPr>
          <w:rFonts w:ascii="仿宋" w:eastAsia="仿宋" w:hAnsi="仿宋" w:cs="Times New Roman" w:hint="eastAsia"/>
          <w:color w:val="000000"/>
          <w:kern w:val="0"/>
          <w:sz w:val="24"/>
          <w:szCs w:val="24"/>
        </w:rPr>
        <w:t>宁波银行</w:t>
      </w:r>
      <w:r w:rsidRPr="00CF5989">
        <w:rPr>
          <w:rFonts w:ascii="仿宋" w:eastAsia="仿宋" w:hAnsi="仿宋" w:cs="Times New Roman" w:hint="eastAsia"/>
          <w:color w:val="000000"/>
          <w:kern w:val="0"/>
          <w:sz w:val="24"/>
          <w:szCs w:val="24"/>
        </w:rPr>
        <w:t>办理基金转换业务时，具体办理要求以</w:t>
      </w:r>
      <w:r w:rsidR="001A4A98">
        <w:rPr>
          <w:rFonts w:ascii="仿宋" w:eastAsia="仿宋" w:hAnsi="仿宋" w:cs="Times New Roman" w:hint="eastAsia"/>
          <w:color w:val="000000"/>
          <w:kern w:val="0"/>
          <w:sz w:val="24"/>
          <w:szCs w:val="24"/>
        </w:rPr>
        <w:t>宁波银行</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转换最低份额，当基金份额持有人申请将账户中该基金全部份额进行转换为另一只基金时，不受上述转换最低份额限制。当基金份额持有人的某笔转换申请导致单个基金账户的基金份额余额少于上述最低持有份额时，基金管理人有权将余额部分基金份额强制赎回。</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4、因注册登记机构不同，仅允许注册登记在相同注册登记机构的基金进行转换。FOF基金与非FOF基金之间不能相互转换。</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5、本公司将不对转换补差费率设折扣限制，原转换补差费率为固定费用的，则按原费率执行。具体转换补差费折扣以销售机构为准。</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6、同一基金不同类别的基金份额间不开放相互转换业务。</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CF5989" w:rsidRPr="00CF5989" w:rsidRDefault="00CF5989" w:rsidP="008A4FFC">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四、最低申购、赎回、持有份额限制</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1、基金管理人规定</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每个基金账户首笔申购的最低金额为人民币0.1元，每笔追加申购的最低金额为人民币0.1元。投资者在</w:t>
      </w:r>
      <w:r w:rsidR="001A4A98">
        <w:rPr>
          <w:rFonts w:ascii="仿宋" w:eastAsia="仿宋" w:hAnsi="仿宋" w:cs="Times New Roman" w:hint="eastAsia"/>
          <w:color w:val="000000"/>
          <w:kern w:val="0"/>
          <w:sz w:val="24"/>
          <w:szCs w:val="24"/>
        </w:rPr>
        <w:t>宁波银行</w:t>
      </w:r>
      <w:r w:rsidRPr="00CF5989">
        <w:rPr>
          <w:rFonts w:ascii="仿宋" w:eastAsia="仿宋" w:hAnsi="仿宋" w:cs="Times New Roman" w:hint="eastAsia"/>
          <w:color w:val="000000"/>
          <w:kern w:val="0"/>
          <w:sz w:val="24"/>
          <w:szCs w:val="24"/>
        </w:rPr>
        <w:t>办理申购业务时，具体办理要求以</w:t>
      </w:r>
      <w:r w:rsidR="001A4A98">
        <w:rPr>
          <w:rFonts w:ascii="仿宋" w:eastAsia="仿宋" w:hAnsi="仿宋" w:cs="Times New Roman" w:hint="eastAsia"/>
          <w:color w:val="000000"/>
          <w:kern w:val="0"/>
          <w:sz w:val="24"/>
          <w:szCs w:val="24"/>
        </w:rPr>
        <w:t>宁波银行</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2、基金管理人规定</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最低赎回、最低持有份额为0.1份。投资者在</w:t>
      </w:r>
      <w:r w:rsidR="001A4A98">
        <w:rPr>
          <w:rFonts w:ascii="仿宋" w:eastAsia="仿宋" w:hAnsi="仿宋" w:cs="Times New Roman" w:hint="eastAsia"/>
          <w:color w:val="000000"/>
          <w:kern w:val="0"/>
          <w:sz w:val="24"/>
          <w:szCs w:val="24"/>
        </w:rPr>
        <w:t>宁波银行</w:t>
      </w:r>
      <w:r w:rsidRPr="00CF5989">
        <w:rPr>
          <w:rFonts w:ascii="仿宋" w:eastAsia="仿宋" w:hAnsi="仿宋" w:cs="Times New Roman" w:hint="eastAsia"/>
          <w:color w:val="000000"/>
          <w:kern w:val="0"/>
          <w:sz w:val="24"/>
          <w:szCs w:val="24"/>
        </w:rPr>
        <w:t>办理赎回业务时，具体办理要求以</w:t>
      </w:r>
      <w:r w:rsidR="001A4A98">
        <w:rPr>
          <w:rFonts w:ascii="仿宋" w:eastAsia="仿宋" w:hAnsi="仿宋" w:cs="Times New Roman" w:hint="eastAsia"/>
          <w:color w:val="000000"/>
          <w:kern w:val="0"/>
          <w:sz w:val="24"/>
          <w:szCs w:val="24"/>
        </w:rPr>
        <w:t>宁波银行</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34F94" w:rsidRDefault="00734F94" w:rsidP="00CF5989">
      <w:pPr>
        <w:pStyle w:val="s17"/>
        <w:spacing w:before="0" w:beforeAutospacing="0" w:after="0" w:afterAutospacing="0"/>
        <w:jc w:val="both"/>
        <w:rPr>
          <w:sz w:val="27"/>
          <w:szCs w:val="27"/>
        </w:rPr>
      </w:pPr>
    </w:p>
    <w:p w:rsidR="00734F94" w:rsidRDefault="00734F94" w:rsidP="008A4FF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E700B2" w:rsidRDefault="00E700B2" w:rsidP="00772414">
      <w:pPr>
        <w:spacing w:line="360" w:lineRule="auto"/>
        <w:ind w:firstLineChars="225" w:firstLine="540"/>
        <w:rPr>
          <w:rFonts w:ascii="仿宋" w:eastAsia="仿宋" w:hAnsi="仿宋"/>
          <w:sz w:val="24"/>
          <w:szCs w:val="24"/>
        </w:rPr>
      </w:pPr>
      <w:r w:rsidRPr="002A6C9A">
        <w:rPr>
          <w:rFonts w:ascii="仿宋" w:eastAsia="仿宋" w:hAnsi="仿宋" w:hint="eastAsia"/>
          <w:sz w:val="24"/>
          <w:szCs w:val="24"/>
        </w:rPr>
        <w:t>自</w:t>
      </w:r>
      <w:r w:rsidRPr="00616068">
        <w:rPr>
          <w:rFonts w:ascii="仿宋" w:eastAsia="仿宋" w:hAnsi="仿宋"/>
          <w:sz w:val="24"/>
          <w:szCs w:val="24"/>
        </w:rPr>
        <w:t>2023年</w:t>
      </w:r>
      <w:r w:rsidR="00E06E52" w:rsidRPr="00616068">
        <w:rPr>
          <w:rFonts w:ascii="仿宋" w:eastAsia="仿宋" w:hAnsi="仿宋"/>
          <w:sz w:val="24"/>
          <w:szCs w:val="24"/>
        </w:rPr>
        <w:t>1</w:t>
      </w:r>
      <w:r w:rsidR="008D397C" w:rsidRPr="00616068">
        <w:rPr>
          <w:rFonts w:ascii="仿宋" w:eastAsia="仿宋" w:hAnsi="仿宋"/>
          <w:sz w:val="24"/>
          <w:szCs w:val="24"/>
        </w:rPr>
        <w:t>2</w:t>
      </w:r>
      <w:r w:rsidRPr="00616068">
        <w:rPr>
          <w:rFonts w:ascii="仿宋" w:eastAsia="仿宋" w:hAnsi="仿宋"/>
          <w:sz w:val="24"/>
          <w:szCs w:val="24"/>
        </w:rPr>
        <w:t>月</w:t>
      </w:r>
      <w:r w:rsidR="000B35B1">
        <w:rPr>
          <w:rFonts w:ascii="仿宋" w:eastAsia="仿宋" w:hAnsi="仿宋"/>
          <w:sz w:val="24"/>
          <w:szCs w:val="24"/>
        </w:rPr>
        <w:t>22</w:t>
      </w:r>
      <w:r w:rsidRPr="00616068">
        <w:rPr>
          <w:rFonts w:ascii="仿宋" w:eastAsia="仿宋" w:hAnsi="仿宋"/>
          <w:sz w:val="24"/>
          <w:szCs w:val="24"/>
        </w:rPr>
        <w:t>日</w:t>
      </w:r>
      <w:r w:rsidRPr="002A6C9A">
        <w:rPr>
          <w:rFonts w:ascii="仿宋" w:eastAsia="仿宋" w:hAnsi="仿宋"/>
          <w:sz w:val="24"/>
          <w:szCs w:val="24"/>
        </w:rPr>
        <w:t>起</w:t>
      </w:r>
      <w:r w:rsidRPr="00E700B2">
        <w:rPr>
          <w:rFonts w:ascii="仿宋" w:eastAsia="仿宋" w:hAnsi="仿宋"/>
          <w:sz w:val="24"/>
          <w:szCs w:val="24"/>
        </w:rPr>
        <w:t>，投资者通过</w:t>
      </w:r>
      <w:r w:rsidR="001A4A98">
        <w:rPr>
          <w:rFonts w:ascii="仿宋" w:eastAsia="仿宋" w:hAnsi="仿宋" w:hint="eastAsia"/>
          <w:sz w:val="24"/>
          <w:szCs w:val="24"/>
        </w:rPr>
        <w:t>宁波</w:t>
      </w:r>
      <w:r w:rsidR="008D397C">
        <w:rPr>
          <w:rFonts w:ascii="仿宋" w:eastAsia="仿宋" w:hAnsi="仿宋"/>
          <w:sz w:val="24"/>
          <w:szCs w:val="24"/>
        </w:rPr>
        <w:t>银行</w:t>
      </w:r>
      <w:r w:rsidRPr="00E700B2">
        <w:rPr>
          <w:rFonts w:ascii="仿宋" w:eastAsia="仿宋" w:hAnsi="仿宋"/>
          <w:sz w:val="24"/>
          <w:szCs w:val="24"/>
        </w:rPr>
        <w:t>申购（包括定期定额申购）</w:t>
      </w:r>
      <w:r w:rsidR="00E97557">
        <w:rPr>
          <w:rFonts w:ascii="仿宋" w:eastAsia="仿宋" w:hAnsi="仿宋"/>
          <w:sz w:val="24"/>
          <w:szCs w:val="24"/>
        </w:rPr>
        <w:t>旗下</w:t>
      </w:r>
      <w:r w:rsidR="00772414">
        <w:rPr>
          <w:rFonts w:ascii="仿宋" w:eastAsia="仿宋" w:hAnsi="仿宋" w:hint="eastAsia"/>
          <w:sz w:val="24"/>
          <w:szCs w:val="24"/>
        </w:rPr>
        <w:t>上述基金</w:t>
      </w:r>
      <w:r w:rsidR="00772414" w:rsidRPr="00772414">
        <w:rPr>
          <w:rFonts w:ascii="仿宋" w:eastAsia="仿宋" w:hAnsi="仿宋" w:hint="eastAsia"/>
          <w:sz w:val="24"/>
          <w:szCs w:val="24"/>
        </w:rPr>
        <w:t>（兴证全球招益债券型证券投资基金</w:t>
      </w:r>
      <w:r w:rsidR="00772414">
        <w:rPr>
          <w:rFonts w:ascii="仿宋" w:eastAsia="仿宋" w:hAnsi="仿宋" w:hint="eastAsia"/>
          <w:sz w:val="24"/>
          <w:szCs w:val="24"/>
        </w:rPr>
        <w:t>、</w:t>
      </w:r>
      <w:r w:rsidR="00772414" w:rsidRPr="00772414">
        <w:rPr>
          <w:rFonts w:ascii="仿宋" w:eastAsia="仿宋" w:hAnsi="仿宋" w:hint="eastAsia"/>
          <w:sz w:val="24"/>
          <w:szCs w:val="24"/>
        </w:rPr>
        <w:t>兴证全球欣越混合型证券投资基金</w:t>
      </w:r>
      <w:r w:rsidR="00772414">
        <w:rPr>
          <w:rFonts w:ascii="仿宋" w:eastAsia="仿宋" w:hAnsi="仿宋" w:hint="eastAsia"/>
          <w:sz w:val="24"/>
          <w:szCs w:val="24"/>
        </w:rPr>
        <w:t>、</w:t>
      </w:r>
      <w:r w:rsidR="00772414" w:rsidRPr="00772414">
        <w:rPr>
          <w:rFonts w:ascii="仿宋" w:eastAsia="仿宋" w:hAnsi="仿宋" w:hint="eastAsia"/>
          <w:sz w:val="24"/>
          <w:szCs w:val="24"/>
        </w:rPr>
        <w:t>兴证全球兴晨六个月持有期混合型证券投资基金除外）</w:t>
      </w:r>
      <w:r w:rsidRPr="00E700B2">
        <w:rPr>
          <w:rFonts w:ascii="仿宋" w:eastAsia="仿宋" w:hAnsi="仿宋"/>
          <w:sz w:val="24"/>
          <w:szCs w:val="24"/>
        </w:rPr>
        <w:t>，本公司将不对申购（包括定期定额申购）费率设折扣限制，原申购费率为固定费用的，则按原费率执行。具体优惠费率以</w:t>
      </w:r>
      <w:r w:rsidR="001A4A98">
        <w:rPr>
          <w:rFonts w:ascii="仿宋" w:eastAsia="仿宋" w:hAnsi="仿宋"/>
          <w:sz w:val="24"/>
          <w:szCs w:val="24"/>
        </w:rPr>
        <w:t>宁波银行</w:t>
      </w:r>
      <w:r w:rsidRPr="00E700B2">
        <w:rPr>
          <w:rFonts w:ascii="仿宋" w:eastAsia="仿宋" w:hAnsi="仿宋"/>
          <w:sz w:val="24"/>
          <w:szCs w:val="24"/>
        </w:rPr>
        <w:t>官方公告为准。</w:t>
      </w:r>
    </w:p>
    <w:p w:rsidR="00772414" w:rsidRPr="00E700B2" w:rsidRDefault="00772414" w:rsidP="00772414">
      <w:pPr>
        <w:spacing w:line="360" w:lineRule="auto"/>
        <w:ind w:firstLineChars="225" w:firstLine="540"/>
        <w:rPr>
          <w:rFonts w:ascii="仿宋" w:eastAsia="仿宋" w:hAnsi="仿宋"/>
          <w:sz w:val="24"/>
          <w:szCs w:val="24"/>
        </w:rPr>
      </w:pPr>
      <w:r w:rsidRPr="00772414">
        <w:rPr>
          <w:rFonts w:ascii="仿宋" w:eastAsia="仿宋" w:hAnsi="仿宋" w:hint="eastAsia"/>
          <w:sz w:val="24"/>
          <w:szCs w:val="24"/>
        </w:rPr>
        <w:t>投资者通过</w:t>
      </w:r>
      <w:r>
        <w:rPr>
          <w:rFonts w:ascii="仿宋" w:eastAsia="仿宋" w:hAnsi="仿宋" w:hint="eastAsia"/>
          <w:sz w:val="24"/>
          <w:szCs w:val="24"/>
        </w:rPr>
        <w:t>宁波</w:t>
      </w:r>
      <w:r>
        <w:rPr>
          <w:rFonts w:ascii="仿宋" w:eastAsia="仿宋" w:hAnsi="仿宋"/>
          <w:sz w:val="24"/>
          <w:szCs w:val="24"/>
        </w:rPr>
        <w:t>银行</w:t>
      </w:r>
      <w:r w:rsidRPr="00772414">
        <w:rPr>
          <w:rFonts w:ascii="仿宋" w:eastAsia="仿宋" w:hAnsi="仿宋" w:hint="eastAsia"/>
          <w:sz w:val="24"/>
          <w:szCs w:val="24"/>
        </w:rPr>
        <w:t>申购（包括定期定额申购）兴证全球招益债券型证券投资基金</w:t>
      </w:r>
      <w:r>
        <w:rPr>
          <w:rFonts w:ascii="仿宋" w:eastAsia="仿宋" w:hAnsi="仿宋" w:hint="eastAsia"/>
          <w:sz w:val="24"/>
          <w:szCs w:val="24"/>
        </w:rPr>
        <w:t>、</w:t>
      </w:r>
      <w:r w:rsidRPr="00772414">
        <w:rPr>
          <w:rFonts w:ascii="仿宋" w:eastAsia="仿宋" w:hAnsi="仿宋" w:hint="eastAsia"/>
          <w:sz w:val="24"/>
          <w:szCs w:val="24"/>
        </w:rPr>
        <w:t>兴证全球欣越混合型证券投资基金</w:t>
      </w:r>
      <w:r>
        <w:rPr>
          <w:rFonts w:ascii="仿宋" w:eastAsia="仿宋" w:hAnsi="仿宋" w:hint="eastAsia"/>
          <w:sz w:val="24"/>
          <w:szCs w:val="24"/>
        </w:rPr>
        <w:t>、</w:t>
      </w:r>
      <w:r w:rsidRPr="00772414">
        <w:rPr>
          <w:rFonts w:ascii="仿宋" w:eastAsia="仿宋" w:hAnsi="仿宋" w:hint="eastAsia"/>
          <w:sz w:val="24"/>
          <w:szCs w:val="24"/>
        </w:rPr>
        <w:t>兴证全球兴晨六个月持有期混合型证券投资基金</w:t>
      </w:r>
      <w:bookmarkStart w:id="0" w:name="_GoBack"/>
      <w:bookmarkEnd w:id="0"/>
      <w:r w:rsidRPr="00772414">
        <w:rPr>
          <w:rFonts w:ascii="仿宋" w:eastAsia="仿宋" w:hAnsi="仿宋"/>
          <w:sz w:val="24"/>
          <w:szCs w:val="24"/>
        </w:rPr>
        <w:t>，不享受申购、定投费率优惠。</w:t>
      </w:r>
    </w:p>
    <w:p w:rsidR="00734F94" w:rsidRDefault="00734F94" w:rsidP="00734F94">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1A4A98">
        <w:rPr>
          <w:rFonts w:ascii="仿宋" w:eastAsia="仿宋" w:hAnsi="仿宋" w:hint="eastAsia"/>
          <w:sz w:val="24"/>
          <w:szCs w:val="24"/>
        </w:rPr>
        <w:t>宁波</w:t>
      </w:r>
      <w:r w:rsidR="008D397C">
        <w:rPr>
          <w:rFonts w:ascii="仿宋" w:eastAsia="仿宋" w:hAnsi="仿宋" w:hint="eastAsia"/>
          <w:sz w:val="24"/>
          <w:szCs w:val="24"/>
        </w:rPr>
        <w:t>银行</w:t>
      </w:r>
      <w:r>
        <w:rPr>
          <w:rFonts w:ascii="仿宋" w:eastAsia="仿宋" w:hAnsi="仿宋" w:hint="eastAsia"/>
          <w:sz w:val="24"/>
          <w:szCs w:val="24"/>
        </w:rPr>
        <w:t>所有。</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62169D" w:rsidRDefault="0062169D" w:rsidP="0062169D">
      <w:pPr>
        <w:pStyle w:val="a3"/>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8D397C" w:rsidRDefault="001A4A98" w:rsidP="0062169D">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宁波</w:t>
      </w:r>
      <w:r w:rsidR="008D397C" w:rsidRPr="008D397C">
        <w:rPr>
          <w:rFonts w:ascii="仿宋" w:eastAsia="仿宋" w:hAnsi="仿宋" w:cs="Times New Roman" w:hint="eastAsia"/>
          <w:color w:val="000000"/>
          <w:kern w:val="0"/>
          <w:sz w:val="24"/>
          <w:szCs w:val="24"/>
        </w:rPr>
        <w:t>银行股份有限公司</w:t>
      </w:r>
    </w:p>
    <w:p w:rsidR="00F64D77" w:rsidRDefault="0062169D" w:rsidP="008D397C">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公司网站：</w:t>
      </w:r>
      <w:r w:rsidR="001A4A98" w:rsidRPr="001A4A98">
        <w:rPr>
          <w:rFonts w:ascii="仿宋" w:eastAsia="仿宋" w:hAnsi="仿宋" w:cs="Times New Roman"/>
          <w:bCs/>
          <w:sz w:val="24"/>
          <w:szCs w:val="24"/>
        </w:rPr>
        <w:t>http://www.nbcb.cn/</w:t>
      </w:r>
    </w:p>
    <w:p w:rsidR="00AF0F63" w:rsidRDefault="0062169D" w:rsidP="006F6710">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客服电话：</w:t>
      </w:r>
      <w:r w:rsidR="00F64D77" w:rsidRPr="00F64D77">
        <w:rPr>
          <w:rFonts w:ascii="仿宋" w:eastAsia="仿宋" w:hAnsi="仿宋" w:cs="Times New Roman"/>
          <w:bCs/>
          <w:sz w:val="24"/>
          <w:szCs w:val="24"/>
        </w:rPr>
        <w:t>9</w:t>
      </w:r>
      <w:r w:rsidR="008D397C">
        <w:rPr>
          <w:rFonts w:ascii="仿宋" w:eastAsia="仿宋" w:hAnsi="仿宋" w:cs="Times New Roman"/>
          <w:bCs/>
          <w:sz w:val="24"/>
          <w:szCs w:val="24"/>
        </w:rPr>
        <w:t>55</w:t>
      </w:r>
      <w:r w:rsidR="001A4A98">
        <w:rPr>
          <w:rFonts w:ascii="仿宋" w:eastAsia="仿宋" w:hAnsi="仿宋" w:cs="Times New Roman"/>
          <w:bCs/>
          <w:sz w:val="24"/>
          <w:szCs w:val="24"/>
        </w:rPr>
        <w:t>74</w:t>
      </w:r>
      <w:r w:rsidR="00DE011E" w:rsidRPr="00DE011E">
        <w:rPr>
          <w:rFonts w:ascii="仿宋" w:eastAsia="仿宋" w:hAnsi="仿宋" w:cs="Times New Roman"/>
          <w:bCs/>
          <w:sz w:val="24"/>
          <w:szCs w:val="24"/>
        </w:rPr>
        <w:t xml:space="preserve">  </w:t>
      </w:r>
    </w:p>
    <w:p w:rsidR="0062169D" w:rsidRDefault="0062169D" w:rsidP="008A4FFC">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以上机构</w:t>
      </w:r>
      <w:r>
        <w:rPr>
          <w:rFonts w:ascii="仿宋" w:eastAsia="仿宋" w:hAnsi="仿宋" w:cs="Times New Roman"/>
          <w:b/>
          <w:sz w:val="24"/>
          <w:szCs w:val="24"/>
        </w:rPr>
        <w:t>已取得中国证监会颁发的基金销售业务资格证书</w:t>
      </w:r>
    </w:p>
    <w:p w:rsidR="0062169D" w:rsidRDefault="0062169D" w:rsidP="0062169D">
      <w:pPr>
        <w:spacing w:line="360" w:lineRule="auto"/>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62169D" w:rsidRDefault="0062169D" w:rsidP="0062169D">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62169D" w:rsidRDefault="0062169D" w:rsidP="0062169D">
      <w:pPr>
        <w:spacing w:line="360" w:lineRule="auto"/>
        <w:ind w:firstLineChars="200" w:firstLine="480"/>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62169D" w:rsidRDefault="0062169D" w:rsidP="00380972">
      <w:pPr>
        <w:spacing w:line="360" w:lineRule="auto"/>
        <w:ind w:right="1920"/>
        <w:rPr>
          <w:rFonts w:ascii="仿宋" w:eastAsia="仿宋" w:hAnsi="仿宋" w:cs="Times New Roman"/>
          <w:sz w:val="24"/>
          <w:szCs w:val="24"/>
        </w:rPr>
      </w:pPr>
    </w:p>
    <w:p w:rsidR="0062169D" w:rsidRDefault="0062169D" w:rsidP="0062169D">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62169D" w:rsidRDefault="00D45BEC" w:rsidP="0062169D">
      <w:pPr>
        <w:spacing w:line="360" w:lineRule="auto"/>
        <w:jc w:val="right"/>
        <w:rPr>
          <w:rFonts w:ascii="仿宋" w:eastAsia="仿宋" w:hAnsi="仿宋" w:cs="Times New Roman"/>
          <w:sz w:val="24"/>
          <w:szCs w:val="24"/>
        </w:rPr>
      </w:pPr>
      <w:r w:rsidRPr="00616068">
        <w:rPr>
          <w:rFonts w:ascii="仿宋" w:eastAsia="仿宋" w:hAnsi="仿宋" w:cs="Times New Roman" w:hint="eastAsia"/>
          <w:sz w:val="24"/>
          <w:szCs w:val="24"/>
        </w:rPr>
        <w:t>2023年</w:t>
      </w:r>
      <w:r w:rsidR="00E06E52" w:rsidRPr="00616068">
        <w:rPr>
          <w:rFonts w:ascii="仿宋" w:eastAsia="仿宋" w:hAnsi="仿宋" w:cs="Times New Roman"/>
          <w:sz w:val="24"/>
          <w:szCs w:val="24"/>
        </w:rPr>
        <w:t>1</w:t>
      </w:r>
      <w:r w:rsidR="008D397C" w:rsidRPr="00616068">
        <w:rPr>
          <w:rFonts w:ascii="仿宋" w:eastAsia="仿宋" w:hAnsi="仿宋" w:cs="Times New Roman"/>
          <w:sz w:val="24"/>
          <w:szCs w:val="24"/>
        </w:rPr>
        <w:t>2</w:t>
      </w:r>
      <w:r w:rsidRPr="00616068">
        <w:rPr>
          <w:rFonts w:ascii="仿宋" w:eastAsia="仿宋" w:hAnsi="仿宋" w:cs="Times New Roman" w:hint="eastAsia"/>
          <w:sz w:val="24"/>
          <w:szCs w:val="24"/>
        </w:rPr>
        <w:t>月</w:t>
      </w:r>
      <w:r w:rsidR="000B35B1">
        <w:rPr>
          <w:rFonts w:ascii="仿宋" w:eastAsia="仿宋" w:hAnsi="仿宋" w:cs="Times New Roman"/>
          <w:sz w:val="24"/>
          <w:szCs w:val="24"/>
        </w:rPr>
        <w:t>22</w:t>
      </w:r>
      <w:r w:rsidRPr="00616068">
        <w:rPr>
          <w:rFonts w:ascii="仿宋" w:eastAsia="仿宋" w:hAnsi="仿宋" w:cs="Times New Roman" w:hint="eastAsia"/>
          <w:sz w:val="24"/>
          <w:szCs w:val="24"/>
        </w:rPr>
        <w:t>日</w:t>
      </w:r>
    </w:p>
    <w:p w:rsidR="00CF5989" w:rsidRPr="00CF5989" w:rsidRDefault="00CF5989" w:rsidP="008E4FF4">
      <w:pPr>
        <w:spacing w:line="360" w:lineRule="auto"/>
        <w:jc w:val="left"/>
      </w:pPr>
    </w:p>
    <w:sectPr w:rsidR="00CF5989" w:rsidRPr="00CF5989" w:rsidSect="00095F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10" w:rsidRDefault="003E6A10" w:rsidP="00D45BEC">
      <w:r>
        <w:separator/>
      </w:r>
    </w:p>
  </w:endnote>
  <w:endnote w:type="continuationSeparator" w:id="0">
    <w:p w:rsidR="003E6A10" w:rsidRDefault="003E6A10" w:rsidP="00D4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10" w:rsidRDefault="003E6A10" w:rsidP="00D45BEC">
      <w:r>
        <w:separator/>
      </w:r>
    </w:p>
  </w:footnote>
  <w:footnote w:type="continuationSeparator" w:id="0">
    <w:p w:rsidR="003E6A10" w:rsidRDefault="003E6A10" w:rsidP="00D4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0F9"/>
    <w:multiLevelType w:val="hybridMultilevel"/>
    <w:tmpl w:val="8C40DCC6"/>
    <w:lvl w:ilvl="0" w:tplc="1D5EEBA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E2B"/>
    <w:rsid w:val="0002677F"/>
    <w:rsid w:val="000423DA"/>
    <w:rsid w:val="00070E2B"/>
    <w:rsid w:val="00095FC8"/>
    <w:rsid w:val="000A60EC"/>
    <w:rsid w:val="000B35B1"/>
    <w:rsid w:val="000E0449"/>
    <w:rsid w:val="00144818"/>
    <w:rsid w:val="0015369F"/>
    <w:rsid w:val="0018443F"/>
    <w:rsid w:val="00184648"/>
    <w:rsid w:val="001A4A98"/>
    <w:rsid w:val="001B111F"/>
    <w:rsid w:val="00231A3B"/>
    <w:rsid w:val="00261CD9"/>
    <w:rsid w:val="00271DDE"/>
    <w:rsid w:val="0028010F"/>
    <w:rsid w:val="00285129"/>
    <w:rsid w:val="002A6C9A"/>
    <w:rsid w:val="002E55E0"/>
    <w:rsid w:val="002F3417"/>
    <w:rsid w:val="002F3AB9"/>
    <w:rsid w:val="003049FF"/>
    <w:rsid w:val="00334700"/>
    <w:rsid w:val="00380972"/>
    <w:rsid w:val="00386DB6"/>
    <w:rsid w:val="00393AC0"/>
    <w:rsid w:val="003A4A08"/>
    <w:rsid w:val="003A4C9F"/>
    <w:rsid w:val="003E6A10"/>
    <w:rsid w:val="00432AE6"/>
    <w:rsid w:val="00460695"/>
    <w:rsid w:val="004B38E8"/>
    <w:rsid w:val="004D2305"/>
    <w:rsid w:val="004F6EFD"/>
    <w:rsid w:val="005030A3"/>
    <w:rsid w:val="005145E5"/>
    <w:rsid w:val="00517AA0"/>
    <w:rsid w:val="005408D9"/>
    <w:rsid w:val="00540D7A"/>
    <w:rsid w:val="00555FFF"/>
    <w:rsid w:val="00592A5B"/>
    <w:rsid w:val="005A31ED"/>
    <w:rsid w:val="005C1815"/>
    <w:rsid w:val="005C6313"/>
    <w:rsid w:val="005D2FFA"/>
    <w:rsid w:val="005E2910"/>
    <w:rsid w:val="00605A58"/>
    <w:rsid w:val="00616068"/>
    <w:rsid w:val="0062169D"/>
    <w:rsid w:val="0068296F"/>
    <w:rsid w:val="00693602"/>
    <w:rsid w:val="006A05F1"/>
    <w:rsid w:val="006B08EE"/>
    <w:rsid w:val="006F6654"/>
    <w:rsid w:val="006F6710"/>
    <w:rsid w:val="00734F94"/>
    <w:rsid w:val="00764C6D"/>
    <w:rsid w:val="007650ED"/>
    <w:rsid w:val="00772414"/>
    <w:rsid w:val="007A2AE6"/>
    <w:rsid w:val="007A2E12"/>
    <w:rsid w:val="007A6684"/>
    <w:rsid w:val="008124DA"/>
    <w:rsid w:val="00822CFC"/>
    <w:rsid w:val="008455DE"/>
    <w:rsid w:val="00870112"/>
    <w:rsid w:val="008851AB"/>
    <w:rsid w:val="008857C0"/>
    <w:rsid w:val="00896617"/>
    <w:rsid w:val="008A4FFC"/>
    <w:rsid w:val="008D397C"/>
    <w:rsid w:val="008E4FF4"/>
    <w:rsid w:val="008F17B2"/>
    <w:rsid w:val="008F5004"/>
    <w:rsid w:val="00900DE7"/>
    <w:rsid w:val="00976EA7"/>
    <w:rsid w:val="00986CFE"/>
    <w:rsid w:val="0099508E"/>
    <w:rsid w:val="00A01F69"/>
    <w:rsid w:val="00A74249"/>
    <w:rsid w:val="00AF0F63"/>
    <w:rsid w:val="00B14DE5"/>
    <w:rsid w:val="00B27C08"/>
    <w:rsid w:val="00B32657"/>
    <w:rsid w:val="00B70287"/>
    <w:rsid w:val="00B71894"/>
    <w:rsid w:val="00BA2F04"/>
    <w:rsid w:val="00BA7355"/>
    <w:rsid w:val="00BB2BAF"/>
    <w:rsid w:val="00BC7F04"/>
    <w:rsid w:val="00BE3639"/>
    <w:rsid w:val="00C02778"/>
    <w:rsid w:val="00C03539"/>
    <w:rsid w:val="00C07C9B"/>
    <w:rsid w:val="00C16CED"/>
    <w:rsid w:val="00C201CD"/>
    <w:rsid w:val="00C23D53"/>
    <w:rsid w:val="00C54412"/>
    <w:rsid w:val="00C9267F"/>
    <w:rsid w:val="00C94404"/>
    <w:rsid w:val="00CC4F0B"/>
    <w:rsid w:val="00CC5D6B"/>
    <w:rsid w:val="00CC7D6F"/>
    <w:rsid w:val="00CF5989"/>
    <w:rsid w:val="00CF65A8"/>
    <w:rsid w:val="00D00452"/>
    <w:rsid w:val="00D05EC1"/>
    <w:rsid w:val="00D310D4"/>
    <w:rsid w:val="00D45BEC"/>
    <w:rsid w:val="00D641EE"/>
    <w:rsid w:val="00D714C8"/>
    <w:rsid w:val="00D96D92"/>
    <w:rsid w:val="00DD6D04"/>
    <w:rsid w:val="00DE011E"/>
    <w:rsid w:val="00E03D84"/>
    <w:rsid w:val="00E06E52"/>
    <w:rsid w:val="00E07E7C"/>
    <w:rsid w:val="00E14815"/>
    <w:rsid w:val="00E17731"/>
    <w:rsid w:val="00E700B2"/>
    <w:rsid w:val="00E74409"/>
    <w:rsid w:val="00E90A7B"/>
    <w:rsid w:val="00E94339"/>
    <w:rsid w:val="00E97557"/>
    <w:rsid w:val="00EA781A"/>
    <w:rsid w:val="00EB180B"/>
    <w:rsid w:val="00EC0DEC"/>
    <w:rsid w:val="00ED6FC0"/>
    <w:rsid w:val="00EF4EFA"/>
    <w:rsid w:val="00EF68ED"/>
    <w:rsid w:val="00F05E20"/>
    <w:rsid w:val="00F14796"/>
    <w:rsid w:val="00F373A6"/>
    <w:rsid w:val="00F64D77"/>
    <w:rsid w:val="00F860E1"/>
    <w:rsid w:val="00FE3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87"/>
    <w:pPr>
      <w:ind w:firstLineChars="200" w:firstLine="420"/>
    </w:pPr>
  </w:style>
  <w:style w:type="paragraph" w:customStyle="1" w:styleId="s6">
    <w:name w:val="s6"/>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8">
    <w:name w:val="s18"/>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7">
    <w:name w:val="s17"/>
    <w:basedOn w:val="a"/>
    <w:rsid w:val="00CF598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B111F"/>
    <w:rPr>
      <w:color w:val="0563C1" w:themeColor="hyperlink"/>
      <w:u w:val="single"/>
    </w:rPr>
  </w:style>
  <w:style w:type="paragraph" w:styleId="a5">
    <w:name w:val="header"/>
    <w:basedOn w:val="a"/>
    <w:link w:val="Char"/>
    <w:uiPriority w:val="99"/>
    <w:unhideWhenUsed/>
    <w:rsid w:val="00D45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5BEC"/>
    <w:rPr>
      <w:sz w:val="18"/>
      <w:szCs w:val="18"/>
    </w:rPr>
  </w:style>
  <w:style w:type="paragraph" w:styleId="a6">
    <w:name w:val="footer"/>
    <w:basedOn w:val="a"/>
    <w:link w:val="Char0"/>
    <w:uiPriority w:val="99"/>
    <w:unhideWhenUsed/>
    <w:rsid w:val="00D45BEC"/>
    <w:pPr>
      <w:tabs>
        <w:tab w:val="center" w:pos="4153"/>
        <w:tab w:val="right" w:pos="8306"/>
      </w:tabs>
      <w:snapToGrid w:val="0"/>
      <w:jc w:val="left"/>
    </w:pPr>
    <w:rPr>
      <w:sz w:val="18"/>
      <w:szCs w:val="18"/>
    </w:rPr>
  </w:style>
  <w:style w:type="character" w:customStyle="1" w:styleId="Char0">
    <w:name w:val="页脚 Char"/>
    <w:basedOn w:val="a0"/>
    <w:link w:val="a6"/>
    <w:uiPriority w:val="99"/>
    <w:rsid w:val="00D45BEC"/>
    <w:rPr>
      <w:sz w:val="18"/>
      <w:szCs w:val="18"/>
    </w:rPr>
  </w:style>
  <w:style w:type="paragraph" w:styleId="a7">
    <w:name w:val="Balloon Text"/>
    <w:basedOn w:val="a"/>
    <w:link w:val="Char1"/>
    <w:uiPriority w:val="99"/>
    <w:semiHidden/>
    <w:unhideWhenUsed/>
    <w:rsid w:val="007A2AE6"/>
    <w:rPr>
      <w:sz w:val="18"/>
      <w:szCs w:val="18"/>
    </w:rPr>
  </w:style>
  <w:style w:type="character" w:customStyle="1" w:styleId="Char1">
    <w:name w:val="批注框文本 Char"/>
    <w:basedOn w:val="a0"/>
    <w:link w:val="a7"/>
    <w:uiPriority w:val="99"/>
    <w:semiHidden/>
    <w:rsid w:val="007A2AE6"/>
    <w:rPr>
      <w:sz w:val="18"/>
      <w:szCs w:val="18"/>
    </w:rPr>
  </w:style>
</w:styles>
</file>

<file path=word/webSettings.xml><?xml version="1.0" encoding="utf-8"?>
<w:webSettings xmlns:r="http://schemas.openxmlformats.org/officeDocument/2006/relationships" xmlns:w="http://schemas.openxmlformats.org/wordprocessingml/2006/main">
  <w:divs>
    <w:div w:id="144518212">
      <w:bodyDiv w:val="1"/>
      <w:marLeft w:val="0"/>
      <w:marRight w:val="0"/>
      <w:marTop w:val="0"/>
      <w:marBottom w:val="0"/>
      <w:divBdr>
        <w:top w:val="none" w:sz="0" w:space="0" w:color="auto"/>
        <w:left w:val="none" w:sz="0" w:space="0" w:color="auto"/>
        <w:bottom w:val="none" w:sz="0" w:space="0" w:color="auto"/>
        <w:right w:val="none" w:sz="0" w:space="0" w:color="auto"/>
      </w:divBdr>
    </w:div>
    <w:div w:id="178005002">
      <w:bodyDiv w:val="1"/>
      <w:marLeft w:val="0"/>
      <w:marRight w:val="0"/>
      <w:marTop w:val="0"/>
      <w:marBottom w:val="0"/>
      <w:divBdr>
        <w:top w:val="none" w:sz="0" w:space="0" w:color="auto"/>
        <w:left w:val="none" w:sz="0" w:space="0" w:color="auto"/>
        <w:bottom w:val="none" w:sz="0" w:space="0" w:color="auto"/>
        <w:right w:val="none" w:sz="0" w:space="0" w:color="auto"/>
      </w:divBdr>
    </w:div>
    <w:div w:id="187178127">
      <w:bodyDiv w:val="1"/>
      <w:marLeft w:val="0"/>
      <w:marRight w:val="0"/>
      <w:marTop w:val="0"/>
      <w:marBottom w:val="0"/>
      <w:divBdr>
        <w:top w:val="none" w:sz="0" w:space="0" w:color="auto"/>
        <w:left w:val="none" w:sz="0" w:space="0" w:color="auto"/>
        <w:bottom w:val="none" w:sz="0" w:space="0" w:color="auto"/>
        <w:right w:val="none" w:sz="0" w:space="0" w:color="auto"/>
      </w:divBdr>
    </w:div>
    <w:div w:id="273752701">
      <w:bodyDiv w:val="1"/>
      <w:marLeft w:val="0"/>
      <w:marRight w:val="0"/>
      <w:marTop w:val="0"/>
      <w:marBottom w:val="0"/>
      <w:divBdr>
        <w:top w:val="none" w:sz="0" w:space="0" w:color="auto"/>
        <w:left w:val="none" w:sz="0" w:space="0" w:color="auto"/>
        <w:bottom w:val="none" w:sz="0" w:space="0" w:color="auto"/>
        <w:right w:val="none" w:sz="0" w:space="0" w:color="auto"/>
      </w:divBdr>
    </w:div>
    <w:div w:id="386688397">
      <w:bodyDiv w:val="1"/>
      <w:marLeft w:val="0"/>
      <w:marRight w:val="0"/>
      <w:marTop w:val="0"/>
      <w:marBottom w:val="0"/>
      <w:divBdr>
        <w:top w:val="none" w:sz="0" w:space="0" w:color="auto"/>
        <w:left w:val="none" w:sz="0" w:space="0" w:color="auto"/>
        <w:bottom w:val="none" w:sz="0" w:space="0" w:color="auto"/>
        <w:right w:val="none" w:sz="0" w:space="0" w:color="auto"/>
      </w:divBdr>
    </w:div>
    <w:div w:id="638846701">
      <w:bodyDiv w:val="1"/>
      <w:marLeft w:val="0"/>
      <w:marRight w:val="0"/>
      <w:marTop w:val="0"/>
      <w:marBottom w:val="0"/>
      <w:divBdr>
        <w:top w:val="none" w:sz="0" w:space="0" w:color="auto"/>
        <w:left w:val="none" w:sz="0" w:space="0" w:color="auto"/>
        <w:bottom w:val="none" w:sz="0" w:space="0" w:color="auto"/>
        <w:right w:val="none" w:sz="0" w:space="0" w:color="auto"/>
      </w:divBdr>
    </w:div>
    <w:div w:id="859120728">
      <w:bodyDiv w:val="1"/>
      <w:marLeft w:val="0"/>
      <w:marRight w:val="0"/>
      <w:marTop w:val="0"/>
      <w:marBottom w:val="0"/>
      <w:divBdr>
        <w:top w:val="none" w:sz="0" w:space="0" w:color="auto"/>
        <w:left w:val="none" w:sz="0" w:space="0" w:color="auto"/>
        <w:bottom w:val="none" w:sz="0" w:space="0" w:color="auto"/>
        <w:right w:val="none" w:sz="0" w:space="0" w:color="auto"/>
      </w:divBdr>
    </w:div>
    <w:div w:id="1313680047">
      <w:bodyDiv w:val="1"/>
      <w:marLeft w:val="0"/>
      <w:marRight w:val="0"/>
      <w:marTop w:val="0"/>
      <w:marBottom w:val="0"/>
      <w:divBdr>
        <w:top w:val="none" w:sz="0" w:space="0" w:color="auto"/>
        <w:left w:val="none" w:sz="0" w:space="0" w:color="auto"/>
        <w:bottom w:val="none" w:sz="0" w:space="0" w:color="auto"/>
        <w:right w:val="none" w:sz="0" w:space="0" w:color="auto"/>
      </w:divBdr>
    </w:div>
    <w:div w:id="1331182380">
      <w:bodyDiv w:val="1"/>
      <w:marLeft w:val="0"/>
      <w:marRight w:val="0"/>
      <w:marTop w:val="0"/>
      <w:marBottom w:val="0"/>
      <w:divBdr>
        <w:top w:val="none" w:sz="0" w:space="0" w:color="auto"/>
        <w:left w:val="none" w:sz="0" w:space="0" w:color="auto"/>
        <w:bottom w:val="none" w:sz="0" w:space="0" w:color="auto"/>
        <w:right w:val="none" w:sz="0" w:space="0" w:color="auto"/>
      </w:divBdr>
    </w:div>
    <w:div w:id="21051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8E21-C8BC-4D95-B6A4-3AB1FFD4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2478</Characters>
  <Application>Microsoft Office Word</Application>
  <DocSecurity>4</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赵璧倩</dc:creator>
  <cp:keywords/>
  <dc:description/>
  <cp:lastModifiedBy>ZHONGM</cp:lastModifiedBy>
  <cp:revision>2</cp:revision>
  <dcterms:created xsi:type="dcterms:W3CDTF">2023-12-21T16:03:00Z</dcterms:created>
  <dcterms:modified xsi:type="dcterms:W3CDTF">2023-12-21T16:03:00Z</dcterms:modified>
</cp:coreProperties>
</file>