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7F" w:rsidRDefault="00E77A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益民基金管理有限公司关于旗下基金新增</w:t>
      </w:r>
      <w:r>
        <w:rPr>
          <w:rFonts w:hint="eastAsia"/>
          <w:sz w:val="28"/>
          <w:szCs w:val="28"/>
        </w:rPr>
        <w:t>海银基金销售</w:t>
      </w:r>
      <w:r>
        <w:rPr>
          <w:rFonts w:hint="eastAsia"/>
          <w:sz w:val="28"/>
          <w:szCs w:val="28"/>
        </w:rPr>
        <w:t>有限公司为销售机构并参加费率优惠活动的公告</w:t>
      </w:r>
    </w:p>
    <w:p w:rsidR="0078437F" w:rsidRDefault="0078437F"/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根据益民基金管理有限公司（以下简称“本公司”）与</w:t>
      </w:r>
      <w:r>
        <w:rPr>
          <w:rFonts w:hint="eastAsia"/>
          <w:sz w:val="24"/>
        </w:rPr>
        <w:t>海银基金销售</w:t>
      </w:r>
      <w:r>
        <w:rPr>
          <w:rFonts w:hint="eastAsia"/>
          <w:sz w:val="24"/>
        </w:rPr>
        <w:t>有限公司（以下简称“</w:t>
      </w:r>
      <w:r>
        <w:rPr>
          <w:rFonts w:hint="eastAsia"/>
          <w:sz w:val="24"/>
        </w:rPr>
        <w:t>海银基金</w:t>
      </w:r>
      <w:r>
        <w:rPr>
          <w:rFonts w:hint="eastAsia"/>
          <w:sz w:val="24"/>
        </w:rPr>
        <w:t>”）签署的基金销售协议，投资者自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日起可通过</w:t>
      </w:r>
      <w:r>
        <w:rPr>
          <w:rFonts w:hint="eastAsia"/>
          <w:sz w:val="24"/>
        </w:rPr>
        <w:t>海银基金</w:t>
      </w:r>
      <w:r>
        <w:rPr>
          <w:rFonts w:hint="eastAsia"/>
          <w:sz w:val="24"/>
        </w:rPr>
        <w:t>办理本公司旗下基金的申购、赎回、定投、转换等业务。具体业务办理日期、时间及办理程序请遵从</w:t>
      </w:r>
      <w:r>
        <w:rPr>
          <w:rFonts w:hint="eastAsia"/>
          <w:sz w:val="24"/>
        </w:rPr>
        <w:t>海银基金</w:t>
      </w:r>
      <w:r>
        <w:rPr>
          <w:rFonts w:hint="eastAsia"/>
          <w:sz w:val="24"/>
        </w:rPr>
        <w:t>的相关业务规定。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投资者办理申购、赎回等业务时，请遵照各基金基金合同和招募说明书（更新）等法律文件，以及本公司发布的最新业务公告。投资者办理定投业务时，请遵循</w:t>
      </w:r>
      <w:r>
        <w:rPr>
          <w:rFonts w:hint="eastAsia"/>
          <w:sz w:val="24"/>
        </w:rPr>
        <w:t>海银基金</w:t>
      </w:r>
      <w:r>
        <w:rPr>
          <w:rFonts w:hint="eastAsia"/>
          <w:sz w:val="24"/>
        </w:rPr>
        <w:t>的规定。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一、适用基金范围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000410</w:t>
      </w:r>
      <w:r>
        <w:rPr>
          <w:rFonts w:hint="eastAsia"/>
          <w:sz w:val="24"/>
        </w:rPr>
        <w:t>）</w:t>
      </w:r>
      <w:bookmarkStart w:id="0" w:name="_GoBack"/>
      <w:bookmarkEnd w:id="0"/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益民服务领先灵活配置混合型证券投资基金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019615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005331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益民优势安享灵活配置混合型证券投资基金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份额</w:t>
      </w:r>
      <w:r>
        <w:rPr>
          <w:rFonts w:hint="eastAsia"/>
          <w:sz w:val="24"/>
        </w:rPr>
        <w:t>（基金代码：</w:t>
      </w:r>
      <w:r>
        <w:rPr>
          <w:rFonts w:hint="eastAsia"/>
          <w:sz w:val="24"/>
        </w:rPr>
        <w:t>020282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益民品质升级灵活配置混合型证券投资基金（基金代码：</w:t>
      </w:r>
      <w:r>
        <w:rPr>
          <w:rFonts w:hint="eastAsia"/>
          <w:sz w:val="24"/>
        </w:rPr>
        <w:t>001135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益民核心增长灵活配置混合型证券投资基金（基金代码：</w:t>
      </w:r>
      <w:r>
        <w:rPr>
          <w:rFonts w:hint="eastAsia"/>
          <w:sz w:val="24"/>
        </w:rPr>
        <w:t>560006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益民创新优势混合型证券投资基金（基金代码：</w:t>
      </w:r>
      <w:r>
        <w:rPr>
          <w:rFonts w:hint="eastAsia"/>
          <w:sz w:val="24"/>
        </w:rPr>
        <w:t>560003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益民红利成长混合型证券投资基金（基金代码：</w:t>
      </w:r>
      <w:r>
        <w:rPr>
          <w:rFonts w:hint="eastAsia"/>
          <w:sz w:val="24"/>
        </w:rPr>
        <w:t>560002</w:t>
      </w:r>
      <w:r>
        <w:rPr>
          <w:rFonts w:hint="eastAsia"/>
          <w:sz w:val="24"/>
        </w:rPr>
        <w:t>）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费率优惠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费率优惠内容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日起，投资者通</w:t>
      </w:r>
      <w:r>
        <w:rPr>
          <w:rFonts w:hint="eastAsia"/>
          <w:sz w:val="24"/>
        </w:rPr>
        <w:t>过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购（包括定投）本公司旗下基金，可</w:t>
      </w:r>
      <w:r>
        <w:rPr>
          <w:rFonts w:hint="eastAsia"/>
          <w:sz w:val="24"/>
        </w:rPr>
        <w:t>参与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购费率优惠活动，申购费率优惠详情</w:t>
      </w:r>
      <w:r>
        <w:rPr>
          <w:rFonts w:hint="eastAsia"/>
          <w:sz w:val="24"/>
        </w:rPr>
        <w:t>以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ascii="宋体" w:eastAsia="宋体" w:hAnsi="宋体" w:cs="宋体" w:hint="eastAsia"/>
          <w:sz w:val="24"/>
        </w:rPr>
        <w:t>相关活动规定或公示</w:t>
      </w:r>
      <w:r>
        <w:rPr>
          <w:rFonts w:hint="eastAsia"/>
          <w:sz w:val="24"/>
        </w:rPr>
        <w:t>为准。基金费率请详见招募说明书（更新）等法律文件，以及本公司发布的最新业务公告。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费率优惠期限内，如本公司新增通过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hint="eastAsia"/>
          <w:sz w:val="24"/>
        </w:rPr>
        <w:t>销</w:t>
      </w:r>
      <w:r>
        <w:rPr>
          <w:rFonts w:hint="eastAsia"/>
          <w:sz w:val="24"/>
        </w:rPr>
        <w:t>售的基金产品，则自该基金产品认购、申购（包括定投）当日起，将同时参与该基金上述优惠活动。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、费率优惠期限，具体以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ascii="宋体" w:eastAsia="宋体" w:hAnsi="宋体" w:cs="宋体" w:hint="eastAsia"/>
          <w:sz w:val="24"/>
        </w:rPr>
        <w:t>相</w:t>
      </w:r>
      <w:r>
        <w:rPr>
          <w:rFonts w:ascii="宋体" w:eastAsia="宋体" w:hAnsi="宋体" w:cs="宋体" w:hint="eastAsia"/>
          <w:sz w:val="24"/>
        </w:rPr>
        <w:t>关活动规定或公示</w:t>
      </w:r>
      <w:r>
        <w:rPr>
          <w:rFonts w:hint="eastAsia"/>
          <w:sz w:val="24"/>
        </w:rPr>
        <w:t>为准。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三、投资者可通过以下途径进行咨询：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海银基金销售</w:t>
      </w:r>
      <w:r>
        <w:rPr>
          <w:rFonts w:hint="eastAsia"/>
          <w:sz w:val="24"/>
        </w:rPr>
        <w:t>有限公司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网址：</w:t>
      </w:r>
      <w:hyperlink r:id="rId4" w:history="1">
        <w:r>
          <w:rPr>
            <w:sz w:val="24"/>
          </w:rPr>
          <w:t>www.fundhaiyin.com</w:t>
        </w:r>
      </w:hyperlink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客服电话：</w:t>
      </w:r>
      <w:r>
        <w:rPr>
          <w:rFonts w:hint="eastAsia"/>
          <w:sz w:val="24"/>
        </w:rPr>
        <w:t>400-808-1016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具体业务办理规则以</w:t>
      </w:r>
      <w:r>
        <w:rPr>
          <w:rFonts w:ascii="宋体" w:eastAsia="宋体" w:hAnsi="宋体" w:cs="宋体" w:hint="eastAsia"/>
          <w:sz w:val="24"/>
        </w:rPr>
        <w:t>海银基金</w:t>
      </w:r>
      <w:r>
        <w:rPr>
          <w:rFonts w:hint="eastAsia"/>
          <w:sz w:val="24"/>
        </w:rPr>
        <w:t>相关规定为准。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、投资者也可通过本公司网站</w:t>
      </w:r>
      <w:r>
        <w:rPr>
          <w:rFonts w:hint="eastAsia"/>
          <w:sz w:val="24"/>
        </w:rPr>
        <w:t>http://www.ymfund.com</w:t>
      </w:r>
      <w:r>
        <w:rPr>
          <w:rFonts w:hint="eastAsia"/>
          <w:sz w:val="24"/>
        </w:rPr>
        <w:t>或客服电话</w:t>
      </w:r>
      <w:r>
        <w:rPr>
          <w:rFonts w:hint="eastAsia"/>
          <w:sz w:val="24"/>
        </w:rPr>
        <w:t>400-650-8808</w:t>
      </w:r>
      <w:r>
        <w:rPr>
          <w:rFonts w:hint="eastAsia"/>
          <w:sz w:val="24"/>
        </w:rPr>
        <w:t>咨询有关详情。</w:t>
      </w:r>
    </w:p>
    <w:p w:rsidR="0078437F" w:rsidRDefault="00E77A31">
      <w:pPr>
        <w:spacing w:line="360" w:lineRule="auto"/>
        <w:rPr>
          <w:sz w:val="24"/>
        </w:rPr>
      </w:pPr>
      <w:r>
        <w:rPr>
          <w:rFonts w:hint="eastAsia"/>
          <w:sz w:val="24"/>
        </w:rPr>
        <w:t>风险提示：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本公司承诺以诚实信用、勤勉尽责的原则管理和运用基金资产，但不保证基金一定盈利，也不</w:t>
      </w:r>
      <w:r>
        <w:rPr>
          <w:rFonts w:hint="eastAsia"/>
          <w:sz w:val="24"/>
        </w:rPr>
        <w:t>保证最低收益。投资人应充分了解基金定期定额投资和零存整取等储蓄方式的区别。定期定额投资是引导投资人进行长期投资、平均投资成本的一种简单易行的投资方式，但是定期定额投资并不能规避基金投资所固有的风险，不能保证投资人获得收益，也不是替代储蓄的等效理财方式。基金投资有风险，敬请投资人认真阅读基金合同、招募说明书等法律文件，并选择适合自身风险承受能力的投资品种进行投资。</w:t>
      </w:r>
    </w:p>
    <w:p w:rsidR="0078437F" w:rsidRDefault="00E77A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特此公告。</w:t>
      </w:r>
    </w:p>
    <w:p w:rsidR="0078437F" w:rsidRDefault="0078437F"/>
    <w:p w:rsidR="0078437F" w:rsidRDefault="0078437F"/>
    <w:p w:rsidR="0078437F" w:rsidRDefault="0078437F"/>
    <w:p w:rsidR="0078437F" w:rsidRDefault="00E77A31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益民基金管理有限公司</w:t>
      </w:r>
    </w:p>
    <w:p w:rsidR="0078437F" w:rsidRDefault="00E77A31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</w:p>
    <w:sectPr w:rsidR="0078437F" w:rsidSect="00784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UwMzBmNWFmYmVjODZmOGE4YzllZDFiNzBhNGE0ZDkifQ=="/>
  </w:docVars>
  <w:rsids>
    <w:rsidRoot w:val="241C6454"/>
    <w:rsid w:val="000D4CDE"/>
    <w:rsid w:val="00103F44"/>
    <w:rsid w:val="00114EDF"/>
    <w:rsid w:val="0012202F"/>
    <w:rsid w:val="00150C35"/>
    <w:rsid w:val="001A076B"/>
    <w:rsid w:val="00337E65"/>
    <w:rsid w:val="00375CC9"/>
    <w:rsid w:val="004C19A9"/>
    <w:rsid w:val="004D7B8A"/>
    <w:rsid w:val="004F29A6"/>
    <w:rsid w:val="0053586B"/>
    <w:rsid w:val="005452EC"/>
    <w:rsid w:val="005B392A"/>
    <w:rsid w:val="006854F9"/>
    <w:rsid w:val="00737988"/>
    <w:rsid w:val="0078437F"/>
    <w:rsid w:val="007C0365"/>
    <w:rsid w:val="007E2E1C"/>
    <w:rsid w:val="0081384D"/>
    <w:rsid w:val="0096564F"/>
    <w:rsid w:val="00977D69"/>
    <w:rsid w:val="00A076D7"/>
    <w:rsid w:val="00A94268"/>
    <w:rsid w:val="00AA4669"/>
    <w:rsid w:val="00B1797C"/>
    <w:rsid w:val="00B27BE5"/>
    <w:rsid w:val="00BA4F55"/>
    <w:rsid w:val="00C71D90"/>
    <w:rsid w:val="00CA2307"/>
    <w:rsid w:val="00CD4D73"/>
    <w:rsid w:val="00D275B2"/>
    <w:rsid w:val="00D81CFE"/>
    <w:rsid w:val="00E43317"/>
    <w:rsid w:val="00E77A31"/>
    <w:rsid w:val="00EE20FB"/>
    <w:rsid w:val="00F05477"/>
    <w:rsid w:val="00FC63B5"/>
    <w:rsid w:val="00FF623C"/>
    <w:rsid w:val="02247FCD"/>
    <w:rsid w:val="030D76E9"/>
    <w:rsid w:val="0D100D86"/>
    <w:rsid w:val="0EC57F43"/>
    <w:rsid w:val="12B72298"/>
    <w:rsid w:val="12E070F9"/>
    <w:rsid w:val="233D470F"/>
    <w:rsid w:val="241C6454"/>
    <w:rsid w:val="280D3EB5"/>
    <w:rsid w:val="28E36B95"/>
    <w:rsid w:val="2C300C99"/>
    <w:rsid w:val="2C581F9E"/>
    <w:rsid w:val="2CB50FC4"/>
    <w:rsid w:val="2DC35BF1"/>
    <w:rsid w:val="2E0555B8"/>
    <w:rsid w:val="300A40B8"/>
    <w:rsid w:val="303C2DF7"/>
    <w:rsid w:val="30E46D55"/>
    <w:rsid w:val="39F772C0"/>
    <w:rsid w:val="434B5F61"/>
    <w:rsid w:val="44AD6788"/>
    <w:rsid w:val="46D93128"/>
    <w:rsid w:val="4CBB5F06"/>
    <w:rsid w:val="4E1075E1"/>
    <w:rsid w:val="51A20327"/>
    <w:rsid w:val="53B51901"/>
    <w:rsid w:val="56FE4321"/>
    <w:rsid w:val="59B91375"/>
    <w:rsid w:val="5A5F28E2"/>
    <w:rsid w:val="5B1F3B03"/>
    <w:rsid w:val="5E876879"/>
    <w:rsid w:val="5F100333"/>
    <w:rsid w:val="68802085"/>
    <w:rsid w:val="6C1D5E3D"/>
    <w:rsid w:val="6DA07690"/>
    <w:rsid w:val="6FD9651F"/>
    <w:rsid w:val="705234B1"/>
    <w:rsid w:val="70C04DEB"/>
    <w:rsid w:val="72C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3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8437F"/>
    <w:pPr>
      <w:jc w:val="left"/>
    </w:pPr>
  </w:style>
  <w:style w:type="paragraph" w:styleId="a4">
    <w:name w:val="Balloon Text"/>
    <w:basedOn w:val="a"/>
    <w:link w:val="Char0"/>
    <w:qFormat/>
    <w:rsid w:val="0078437F"/>
    <w:rPr>
      <w:sz w:val="18"/>
      <w:szCs w:val="18"/>
    </w:rPr>
  </w:style>
  <w:style w:type="paragraph" w:styleId="a5">
    <w:name w:val="footer"/>
    <w:basedOn w:val="a"/>
    <w:link w:val="Char1"/>
    <w:qFormat/>
    <w:rsid w:val="0078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8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78437F"/>
    <w:rPr>
      <w:b/>
      <w:bCs/>
    </w:rPr>
  </w:style>
  <w:style w:type="character" w:styleId="a8">
    <w:name w:val="Hyperlink"/>
    <w:basedOn w:val="a0"/>
    <w:qFormat/>
    <w:rsid w:val="0078437F"/>
    <w:rPr>
      <w:color w:val="0000FF"/>
      <w:u w:val="single"/>
    </w:rPr>
  </w:style>
  <w:style w:type="character" w:styleId="a9">
    <w:name w:val="annotation reference"/>
    <w:basedOn w:val="a0"/>
    <w:qFormat/>
    <w:rsid w:val="0078437F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7843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78437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78437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sid w:val="007843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7843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dhaiyin.com/etradi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ZHONGM</cp:lastModifiedBy>
  <cp:revision>2</cp:revision>
  <cp:lastPrinted>2023-06-12T03:09:00Z</cp:lastPrinted>
  <dcterms:created xsi:type="dcterms:W3CDTF">2023-12-21T16:00:00Z</dcterms:created>
  <dcterms:modified xsi:type="dcterms:W3CDTF">2023-12-21T16:00:00Z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03C94E2006C44B9F81C5B7F9C35C2BA0_13</vt:lpwstr>
  </property>
</Properties>
</file>