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6F" w:rsidRDefault="00C61827" w:rsidP="00C61827">
      <w:pPr>
        <w:spacing w:line="360" w:lineRule="auto"/>
        <w:jc w:val="center"/>
        <w:rPr>
          <w:rFonts w:ascii="宋体" w:hAnsi="宋体" w:cs="宋体"/>
          <w:b/>
          <w:bCs/>
          <w:color w:val="000000"/>
          <w:sz w:val="30"/>
          <w:szCs w:val="30"/>
        </w:rPr>
      </w:pPr>
      <w:bookmarkStart w:id="0" w:name="_GoBack"/>
      <w:bookmarkStart w:id="1" w:name="_Toc249760023"/>
      <w:bookmarkEnd w:id="0"/>
      <w:r>
        <w:rPr>
          <w:rFonts w:ascii="宋体" w:hAnsi="宋体" w:cs="宋体" w:hint="eastAsia"/>
          <w:b/>
          <w:bCs/>
          <w:color w:val="000000"/>
          <w:sz w:val="30"/>
          <w:szCs w:val="30"/>
        </w:rPr>
        <w:t>中欧成长优选回报灵活配置混合型发起式证券投资基金</w:t>
      </w:r>
    </w:p>
    <w:p w:rsidR="00C61827" w:rsidRDefault="00C61827" w:rsidP="00C61827">
      <w:pPr>
        <w:spacing w:line="360" w:lineRule="auto"/>
        <w:jc w:val="center"/>
        <w:rPr>
          <w:b/>
          <w:bCs/>
          <w:color w:val="000000"/>
          <w:sz w:val="30"/>
          <w:szCs w:val="30"/>
        </w:rPr>
      </w:pPr>
      <w:r>
        <w:rPr>
          <w:rFonts w:hint="eastAsia"/>
          <w:b/>
          <w:bCs/>
          <w:color w:val="000000"/>
          <w:sz w:val="30"/>
          <w:szCs w:val="30"/>
        </w:rPr>
        <w:t>分红公告</w:t>
      </w:r>
    </w:p>
    <w:p w:rsidR="00C61827" w:rsidRDefault="00C61827" w:rsidP="00C61827">
      <w:pPr>
        <w:spacing w:line="360" w:lineRule="auto"/>
        <w:jc w:val="center"/>
        <w:rPr>
          <w:color w:val="000000"/>
          <w:sz w:val="24"/>
        </w:rPr>
      </w:pPr>
      <w:r>
        <w:rPr>
          <w:rFonts w:ascii="宋体" w:hAnsi="宋体" w:hint="eastAsia"/>
          <w:b/>
          <w:sz w:val="24"/>
        </w:rPr>
        <w:t>公告送出日期：</w:t>
      </w:r>
      <w:r>
        <w:rPr>
          <w:rFonts w:ascii="宋体" w:hAnsi="宋体" w:cs="宋体" w:hint="eastAsia"/>
          <w:b/>
          <w:sz w:val="24"/>
        </w:rPr>
        <w:t>2023年12月22日</w:t>
      </w:r>
    </w:p>
    <w:bookmarkEnd w:id="1"/>
    <w:p w:rsidR="00C61827" w:rsidRDefault="00C61827" w:rsidP="00C6182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692"/>
        <w:gridCol w:w="1843"/>
        <w:gridCol w:w="1919"/>
      </w:tblGrid>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基金名称</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color w:val="000000"/>
                <w:sz w:val="24"/>
              </w:rPr>
              <w:t>中欧成长优选回报灵活配置混合型发起式证券投资基金</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基金简称</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color w:val="000000"/>
                <w:sz w:val="24"/>
              </w:rPr>
              <w:t>中欧成长优选混合</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基金主代码</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color w:val="000000"/>
                <w:sz w:val="24"/>
              </w:rPr>
              <w:t>166020</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基金合同生效日</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color w:val="000000"/>
                <w:sz w:val="24"/>
              </w:rPr>
              <w:t>2013年8月21日</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基金管理人名称</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color w:val="000000"/>
                <w:sz w:val="24"/>
              </w:rPr>
              <w:t>中欧基金管理有限公司</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基金托管人名称</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color w:val="000000"/>
                <w:sz w:val="24"/>
              </w:rPr>
              <w:t>中国建设银行股份有限公司</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公告依据</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color w:val="000000"/>
                <w:sz w:val="24"/>
              </w:rPr>
              <w:t>《中华人民共和国证券投资基金法》、《公开募集证券投资基金运作管理办法》等法律法规以及《中欧成长优选回报灵活配置混合型发起式证券投资基金基金合同》、《中欧成长优选回报灵活配置混合型发起式证券投资基金招募说明书》</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收益分配基准日</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color w:val="000000"/>
                <w:sz w:val="24"/>
              </w:rPr>
              <w:t>2023年12月18日</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有关年度分红次数的说明</w:t>
            </w:r>
          </w:p>
        </w:tc>
        <w:tc>
          <w:tcPr>
            <w:tcW w:w="3762"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color w:val="000000"/>
                <w:sz w:val="24"/>
              </w:rPr>
            </w:pPr>
            <w:r>
              <w:rPr>
                <w:rFonts w:ascii="宋体" w:hAnsi="宋体" w:hint="eastAsia"/>
                <w:color w:val="000000"/>
                <w:sz w:val="24"/>
              </w:rPr>
              <w:t>本次分红为2023年度的第一次分红</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hint="eastAsia"/>
                <w:sz w:val="24"/>
              </w:rPr>
              <w:t>下属分类基金的基金简称</w:t>
            </w:r>
            <w:r>
              <w:rPr>
                <w:sz w:val="24"/>
              </w:rPr>
              <w:t xml:space="preserve"> </w:t>
            </w:r>
          </w:p>
        </w:tc>
        <w:tc>
          <w:tcPr>
            <w:tcW w:w="1843" w:type="dxa"/>
          </w:tcPr>
          <w:p w:rsidR="00503F01" w:rsidRDefault="00DC6A1C">
            <w:pPr>
              <w:jc w:val="left"/>
            </w:pPr>
            <w:r>
              <w:rPr>
                <w:rFonts w:ascii="宋体" w:hAnsi="宋体" w:hint="eastAsia"/>
                <w:color w:val="000000"/>
                <w:sz w:val="24"/>
              </w:rPr>
              <w:t>中欧成长优选混合A</w:t>
            </w:r>
          </w:p>
        </w:tc>
        <w:tc>
          <w:tcPr>
            <w:tcW w:w="1919" w:type="dxa"/>
          </w:tcPr>
          <w:p w:rsidR="00503F01" w:rsidRDefault="00DC6A1C">
            <w:pPr>
              <w:jc w:val="left"/>
            </w:pPr>
            <w:r>
              <w:rPr>
                <w:rFonts w:ascii="宋体" w:hAnsi="宋体" w:hint="eastAsia"/>
                <w:color w:val="000000"/>
                <w:sz w:val="24"/>
              </w:rPr>
              <w:t>中欧成长优选混合E</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hint="eastAsia"/>
                <w:sz w:val="24"/>
              </w:rPr>
              <w:t>下属分类基金的交易代码</w:t>
            </w:r>
          </w:p>
        </w:tc>
        <w:tc>
          <w:tcPr>
            <w:tcW w:w="1843" w:type="dxa"/>
          </w:tcPr>
          <w:p w:rsidR="00503F01" w:rsidRDefault="00DC6A1C">
            <w:pPr>
              <w:jc w:val="left"/>
            </w:pPr>
            <w:r>
              <w:rPr>
                <w:rFonts w:ascii="宋体" w:hAnsi="宋体" w:hint="eastAsia"/>
                <w:color w:val="000000"/>
                <w:sz w:val="24"/>
              </w:rPr>
              <w:t>166020</w:t>
            </w:r>
          </w:p>
        </w:tc>
        <w:tc>
          <w:tcPr>
            <w:tcW w:w="1919" w:type="dxa"/>
          </w:tcPr>
          <w:p w:rsidR="00503F01" w:rsidRDefault="00DC6A1C">
            <w:pPr>
              <w:jc w:val="left"/>
            </w:pPr>
            <w:r>
              <w:rPr>
                <w:rFonts w:ascii="宋体" w:hAnsi="宋体" w:hint="eastAsia"/>
                <w:color w:val="000000"/>
                <w:sz w:val="24"/>
              </w:rPr>
              <w:t>001891</w:t>
            </w:r>
          </w:p>
        </w:tc>
      </w:tr>
      <w:tr w:rsidR="00C61827" w:rsidTr="00DC6A1C">
        <w:trPr>
          <w:trHeight w:val="1340"/>
          <w:jc w:val="center"/>
        </w:trPr>
        <w:tc>
          <w:tcPr>
            <w:tcW w:w="1271" w:type="dxa"/>
            <w:vMerge w:val="restart"/>
            <w:tcBorders>
              <w:top w:val="single" w:sz="4" w:space="0" w:color="auto"/>
              <w:left w:val="single" w:sz="4" w:space="0" w:color="auto"/>
              <w:bottom w:val="nil"/>
              <w:right w:val="single" w:sz="4" w:space="0" w:color="auto"/>
            </w:tcBorders>
            <w:vAlign w:val="center"/>
            <w:hideMark/>
          </w:tcPr>
          <w:p w:rsidR="00C61827" w:rsidRDefault="00C61827">
            <w:pPr>
              <w:jc w:val="center"/>
              <w:rPr>
                <w:sz w:val="24"/>
              </w:rPr>
            </w:pPr>
            <w:r>
              <w:rPr>
                <w:rFonts w:ascii="宋体" w:hAnsi="宋体" w:hint="eastAsia"/>
                <w:sz w:val="24"/>
              </w:rPr>
              <w:t>截止基准日下属分级基金的相关指标</w:t>
            </w:r>
          </w:p>
        </w:tc>
        <w:tc>
          <w:tcPr>
            <w:tcW w:w="2692"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sz w:val="24"/>
              </w:rPr>
              <w:t>基准日下属分类基金份额净值（单位：人民币元 ）</w:t>
            </w:r>
          </w:p>
        </w:tc>
        <w:tc>
          <w:tcPr>
            <w:tcW w:w="1843" w:type="dxa"/>
            <w:vAlign w:val="center"/>
          </w:tcPr>
          <w:p w:rsidR="00503F01" w:rsidRDefault="00DC6A1C">
            <w:pPr>
              <w:jc w:val="left"/>
            </w:pPr>
            <w:r>
              <w:rPr>
                <w:rFonts w:ascii="宋体" w:hAnsi="宋体" w:hint="eastAsia"/>
                <w:color w:val="000000"/>
                <w:sz w:val="24"/>
              </w:rPr>
              <w:t>1.7237</w:t>
            </w:r>
          </w:p>
        </w:tc>
        <w:tc>
          <w:tcPr>
            <w:tcW w:w="1919" w:type="dxa"/>
            <w:vAlign w:val="center"/>
          </w:tcPr>
          <w:p w:rsidR="00503F01" w:rsidRDefault="00DC6A1C">
            <w:pPr>
              <w:jc w:val="left"/>
            </w:pPr>
            <w:r>
              <w:rPr>
                <w:rFonts w:ascii="宋体" w:hAnsi="宋体" w:hint="eastAsia"/>
                <w:color w:val="000000"/>
                <w:sz w:val="24"/>
              </w:rPr>
              <w:t>1.7954</w:t>
            </w:r>
          </w:p>
        </w:tc>
      </w:tr>
      <w:tr w:rsidR="00C61827" w:rsidTr="00DC6A1C">
        <w:trPr>
          <w:jc w:val="center"/>
        </w:trPr>
        <w:tc>
          <w:tcPr>
            <w:tcW w:w="1271" w:type="dxa"/>
            <w:vMerge/>
            <w:tcBorders>
              <w:top w:val="single" w:sz="4" w:space="0" w:color="auto"/>
              <w:left w:val="single" w:sz="4" w:space="0" w:color="auto"/>
              <w:bottom w:val="nil"/>
              <w:right w:val="single" w:sz="4" w:space="0" w:color="auto"/>
            </w:tcBorders>
            <w:vAlign w:val="center"/>
            <w:hideMark/>
          </w:tcPr>
          <w:p w:rsidR="00C61827" w:rsidRDefault="00C61827">
            <w:pPr>
              <w:widowControl/>
              <w:jc w:val="left"/>
              <w:rPr>
                <w:sz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hint="eastAsia"/>
                <w:sz w:val="24"/>
              </w:rPr>
              <w:t>基准日下属分类基金可供分配利润</w:t>
            </w:r>
            <w:r>
              <w:rPr>
                <w:rFonts w:ascii="宋体" w:hAnsi="宋体" w:hint="eastAsia"/>
                <w:sz w:val="24"/>
              </w:rPr>
              <w:t>（单位：人民币元 ）</w:t>
            </w:r>
          </w:p>
        </w:tc>
        <w:tc>
          <w:tcPr>
            <w:tcW w:w="1843" w:type="dxa"/>
            <w:vAlign w:val="center"/>
          </w:tcPr>
          <w:p w:rsidR="00503F01" w:rsidRDefault="00DC6A1C">
            <w:pPr>
              <w:jc w:val="left"/>
            </w:pPr>
            <w:r>
              <w:rPr>
                <w:rFonts w:ascii="宋体" w:hAnsi="宋体" w:hint="eastAsia"/>
                <w:color w:val="000000"/>
                <w:sz w:val="24"/>
              </w:rPr>
              <w:t>1,218,407,482.08</w:t>
            </w:r>
          </w:p>
        </w:tc>
        <w:tc>
          <w:tcPr>
            <w:tcW w:w="1919" w:type="dxa"/>
            <w:vAlign w:val="center"/>
          </w:tcPr>
          <w:p w:rsidR="00503F01" w:rsidRDefault="00DC6A1C">
            <w:pPr>
              <w:jc w:val="left"/>
            </w:pPr>
            <w:r>
              <w:rPr>
                <w:rFonts w:ascii="宋体" w:hAnsi="宋体" w:hint="eastAsia"/>
                <w:color w:val="000000"/>
                <w:sz w:val="24"/>
              </w:rPr>
              <w:t>929,365,973.70</w:t>
            </w:r>
          </w:p>
        </w:tc>
      </w:tr>
      <w:tr w:rsidR="00C61827" w:rsidTr="00DC6A1C">
        <w:trPr>
          <w:trHeight w:val="116"/>
          <w:jc w:val="center"/>
        </w:trPr>
        <w:tc>
          <w:tcPr>
            <w:tcW w:w="1271" w:type="dxa"/>
            <w:vMerge/>
            <w:tcBorders>
              <w:top w:val="single" w:sz="4" w:space="0" w:color="auto"/>
              <w:left w:val="single" w:sz="4" w:space="0" w:color="auto"/>
              <w:bottom w:val="nil"/>
              <w:right w:val="single" w:sz="4" w:space="0" w:color="auto"/>
            </w:tcBorders>
            <w:vAlign w:val="center"/>
            <w:hideMark/>
          </w:tcPr>
          <w:p w:rsidR="00C61827" w:rsidRDefault="00C61827">
            <w:pPr>
              <w:widowControl/>
              <w:jc w:val="left"/>
              <w:rPr>
                <w:sz w:val="24"/>
              </w:rPr>
            </w:pPr>
          </w:p>
        </w:tc>
        <w:tc>
          <w:tcPr>
            <w:tcW w:w="2692"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hint="eastAsia"/>
                <w:color w:val="000000"/>
                <w:sz w:val="24"/>
              </w:rPr>
              <w:t>截止基准日按照基金合同约定的分红比例计算的下属分类基金应分配金额（单位：人民币元</w:t>
            </w:r>
            <w:r>
              <w:rPr>
                <w:color w:val="000000"/>
                <w:sz w:val="24"/>
              </w:rPr>
              <w:t xml:space="preserve"> </w:t>
            </w:r>
            <w:r>
              <w:rPr>
                <w:rFonts w:hint="eastAsia"/>
                <w:color w:val="000000"/>
                <w:sz w:val="24"/>
              </w:rPr>
              <w:t>）</w:t>
            </w:r>
          </w:p>
        </w:tc>
        <w:tc>
          <w:tcPr>
            <w:tcW w:w="1843" w:type="dxa"/>
            <w:vAlign w:val="center"/>
          </w:tcPr>
          <w:p w:rsidR="00503F01" w:rsidRDefault="00DC6A1C">
            <w:pPr>
              <w:jc w:val="left"/>
            </w:pPr>
            <w:r>
              <w:rPr>
                <w:rFonts w:ascii="宋体" w:hAnsi="宋体" w:hint="eastAsia"/>
                <w:color w:val="000000"/>
                <w:sz w:val="24"/>
              </w:rPr>
              <w:t>121,840,748.2</w:t>
            </w:r>
            <w:r w:rsidR="00001230">
              <w:rPr>
                <w:rFonts w:ascii="宋体" w:hAnsi="宋体"/>
                <w:color w:val="000000"/>
                <w:sz w:val="24"/>
              </w:rPr>
              <w:t>1</w:t>
            </w:r>
          </w:p>
        </w:tc>
        <w:tc>
          <w:tcPr>
            <w:tcW w:w="1919" w:type="dxa"/>
            <w:vAlign w:val="center"/>
          </w:tcPr>
          <w:p w:rsidR="00503F01" w:rsidRDefault="00DC6A1C">
            <w:pPr>
              <w:jc w:val="left"/>
            </w:pPr>
            <w:r>
              <w:rPr>
                <w:rFonts w:ascii="宋体" w:hAnsi="宋体" w:hint="eastAsia"/>
                <w:color w:val="000000"/>
                <w:sz w:val="24"/>
              </w:rPr>
              <w:t>92,936,597.37</w:t>
            </w:r>
          </w:p>
        </w:tc>
      </w:tr>
      <w:tr w:rsidR="00C61827" w:rsidTr="00DC6A1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sz w:val="24"/>
              </w:rPr>
              <w:t>本次下属分类基金分红方案（单位：人民币元/10份基金份额）</w:t>
            </w:r>
          </w:p>
        </w:tc>
        <w:tc>
          <w:tcPr>
            <w:tcW w:w="1843" w:type="dxa"/>
            <w:vAlign w:val="center"/>
          </w:tcPr>
          <w:p w:rsidR="00503F01" w:rsidRDefault="00DC6A1C">
            <w:pPr>
              <w:jc w:val="left"/>
            </w:pPr>
            <w:r>
              <w:rPr>
                <w:rFonts w:ascii="宋体" w:hAnsi="宋体" w:hint="eastAsia"/>
                <w:color w:val="000000"/>
                <w:sz w:val="24"/>
              </w:rPr>
              <w:t>3.448</w:t>
            </w:r>
          </w:p>
        </w:tc>
        <w:tc>
          <w:tcPr>
            <w:tcW w:w="1919" w:type="dxa"/>
            <w:vAlign w:val="center"/>
          </w:tcPr>
          <w:p w:rsidR="00503F01" w:rsidRDefault="00DC6A1C">
            <w:pPr>
              <w:jc w:val="left"/>
            </w:pPr>
            <w:r>
              <w:rPr>
                <w:rFonts w:ascii="宋体" w:hAnsi="宋体" w:hint="eastAsia"/>
                <w:color w:val="000000"/>
                <w:sz w:val="24"/>
              </w:rPr>
              <w:t>3.591</w:t>
            </w:r>
          </w:p>
        </w:tc>
      </w:tr>
    </w:tbl>
    <w:p w:rsidR="0028116F" w:rsidRDefault="00FE4F55" w:rsidP="00DC6A1C">
      <w:pPr>
        <w:spacing w:line="240" w:lineRule="exact"/>
        <w:rPr>
          <w:rFonts w:ascii="宋体" w:hAnsi="宋体"/>
          <w:bCs/>
          <w:color w:val="000000"/>
          <w:sz w:val="18"/>
          <w:szCs w:val="18"/>
        </w:rPr>
      </w:pPr>
      <w:r w:rsidRPr="00717927">
        <w:rPr>
          <w:rFonts w:ascii="宋体" w:hAnsi="宋体" w:hint="eastAsia"/>
          <w:bCs/>
          <w:color w:val="000000"/>
          <w:sz w:val="18"/>
          <w:szCs w:val="18"/>
        </w:rPr>
        <w:t>注：</w:t>
      </w:r>
      <w:r w:rsidR="0028116F">
        <w:rPr>
          <w:rFonts w:ascii="宋体" w:hAnsi="宋体" w:hint="eastAsia"/>
          <w:bCs/>
          <w:color w:val="000000"/>
          <w:sz w:val="18"/>
          <w:szCs w:val="18"/>
        </w:rPr>
        <w:t>1、①</w:t>
      </w:r>
      <w:r w:rsidR="00C61827" w:rsidRPr="00717927">
        <w:rPr>
          <w:rFonts w:ascii="宋体" w:hAnsi="宋体" w:hint="eastAsia"/>
          <w:bCs/>
          <w:color w:val="000000"/>
          <w:sz w:val="18"/>
          <w:szCs w:val="18"/>
        </w:rPr>
        <w:t>在符合有关基金分红条件的前提下，本基金每年收益分配次数最多为12次，每次收益分配比例不得低于该次可供分配利润的10%，若《基金合同》生效不满3个月可不进行收益分配；</w:t>
      </w:r>
    </w:p>
    <w:p w:rsidR="0028116F" w:rsidRDefault="0028116F" w:rsidP="00DC6A1C">
      <w:pPr>
        <w:spacing w:line="240" w:lineRule="exact"/>
        <w:rPr>
          <w:rFonts w:ascii="宋体" w:hAnsi="宋体"/>
          <w:bCs/>
          <w:color w:val="000000"/>
          <w:sz w:val="18"/>
          <w:szCs w:val="18"/>
        </w:rPr>
      </w:pPr>
      <w:r>
        <w:rPr>
          <w:rFonts w:ascii="宋体" w:hAnsi="宋体" w:hint="eastAsia"/>
          <w:bCs/>
          <w:color w:val="000000"/>
          <w:sz w:val="18"/>
          <w:szCs w:val="18"/>
        </w:rPr>
        <w:t>②</w:t>
      </w:r>
      <w:r w:rsidR="00C61827" w:rsidRPr="00717927">
        <w:rPr>
          <w:rFonts w:ascii="宋体" w:hAnsi="宋体" w:hint="eastAsia"/>
          <w:bCs/>
          <w:color w:val="000000"/>
          <w:sz w:val="18"/>
          <w:szCs w:val="18"/>
        </w:rPr>
        <w:t>本基金收益分配方式分两种：现金分红与红利再投资，投资人可对A类基金份额、E类基金份额选择现金红利或将现金红利自动转为该类别基金份额进行再投资；若投资人不选择，本基金默认的收益分配方式是现金分红；</w:t>
      </w:r>
    </w:p>
    <w:p w:rsidR="0028116F" w:rsidRDefault="0028116F" w:rsidP="00DC6A1C">
      <w:pPr>
        <w:spacing w:line="240" w:lineRule="exact"/>
        <w:rPr>
          <w:rFonts w:ascii="宋体" w:hAnsi="宋体"/>
          <w:bCs/>
          <w:color w:val="000000"/>
          <w:sz w:val="18"/>
          <w:szCs w:val="18"/>
        </w:rPr>
      </w:pPr>
      <w:r>
        <w:rPr>
          <w:rFonts w:ascii="宋体" w:hAnsi="宋体" w:hint="eastAsia"/>
          <w:bCs/>
          <w:color w:val="000000"/>
          <w:sz w:val="18"/>
          <w:szCs w:val="18"/>
        </w:rPr>
        <w:lastRenderedPageBreak/>
        <w:t>③</w:t>
      </w:r>
      <w:r w:rsidR="00C61827" w:rsidRPr="00717927">
        <w:rPr>
          <w:rFonts w:ascii="宋体" w:hAnsi="宋体" w:hint="eastAsia"/>
          <w:bCs/>
          <w:color w:val="000000"/>
          <w:sz w:val="18"/>
          <w:szCs w:val="18"/>
        </w:rPr>
        <w:t>基金收益分配后基金份额净值不能低于面值；即基金收益分配基准日的基金份额净值减去每单位基金份额收益分配金额后不能低于面值；</w:t>
      </w:r>
    </w:p>
    <w:p w:rsidR="00C61827" w:rsidRDefault="0028116F" w:rsidP="00DC6A1C">
      <w:pPr>
        <w:spacing w:line="240" w:lineRule="exact"/>
        <w:rPr>
          <w:rFonts w:ascii="宋体" w:hAnsi="宋体"/>
          <w:bCs/>
          <w:color w:val="000000"/>
          <w:sz w:val="18"/>
          <w:szCs w:val="18"/>
        </w:rPr>
      </w:pPr>
      <w:r>
        <w:rPr>
          <w:rFonts w:ascii="宋体" w:hAnsi="宋体" w:hint="eastAsia"/>
          <w:bCs/>
          <w:color w:val="000000"/>
          <w:sz w:val="18"/>
          <w:szCs w:val="18"/>
        </w:rPr>
        <w:t>④</w:t>
      </w:r>
      <w:r w:rsidR="00C61827" w:rsidRPr="00717927">
        <w:rPr>
          <w:rFonts w:ascii="宋体" w:hAnsi="宋体" w:hint="eastAsia"/>
          <w:bCs/>
          <w:color w:val="000000"/>
          <w:sz w:val="18"/>
          <w:szCs w:val="18"/>
        </w:rPr>
        <w:t>同一类别的每一基金份额享有同等分配权；</w:t>
      </w:r>
      <w:r w:rsidRPr="00717927" w:rsidDel="0028116F">
        <w:rPr>
          <w:rFonts w:ascii="宋体" w:hAnsi="宋体" w:hint="eastAsia"/>
          <w:bCs/>
          <w:color w:val="000000"/>
          <w:sz w:val="18"/>
          <w:szCs w:val="18"/>
        </w:rPr>
        <w:t xml:space="preserve"> </w:t>
      </w:r>
    </w:p>
    <w:p w:rsidR="0028116F" w:rsidRPr="00DC6A1C" w:rsidRDefault="0028116F" w:rsidP="00DC6A1C">
      <w:pPr>
        <w:spacing w:line="240" w:lineRule="exact"/>
        <w:rPr>
          <w:rFonts w:ascii="宋体" w:hAnsi="宋体"/>
          <w:sz w:val="18"/>
          <w:szCs w:val="18"/>
        </w:rPr>
      </w:pPr>
      <w:r w:rsidRPr="00DC6A1C">
        <w:rPr>
          <w:rFonts w:ascii="宋体" w:hAnsi="宋体"/>
          <w:sz w:val="18"/>
          <w:szCs w:val="18"/>
        </w:rPr>
        <w:t>2、截止本次基准</w:t>
      </w:r>
      <w:r w:rsidRPr="00DC6A1C">
        <w:rPr>
          <w:rFonts w:ascii="宋体" w:hAnsi="宋体" w:hint="eastAsia"/>
          <w:sz w:val="18"/>
          <w:szCs w:val="18"/>
        </w:rPr>
        <w:t>日按照基金合同约定的分红比例计算应分配额</w:t>
      </w:r>
      <w:r w:rsidRPr="00DC6A1C">
        <w:rPr>
          <w:rFonts w:ascii="宋体" w:hAnsi="宋体"/>
          <w:sz w:val="18"/>
          <w:szCs w:val="18"/>
        </w:rPr>
        <w:t>=基准日基金可供分配利润*10%</w:t>
      </w:r>
    </w:p>
    <w:p w:rsidR="0028116F" w:rsidRPr="0028116F" w:rsidRDefault="0028116F" w:rsidP="00717927">
      <w:pPr>
        <w:rPr>
          <w:rFonts w:ascii="宋体" w:hAnsi="宋体"/>
          <w:bCs/>
          <w:color w:val="000000"/>
          <w:sz w:val="18"/>
          <w:szCs w:val="18"/>
        </w:rPr>
      </w:pPr>
    </w:p>
    <w:p w:rsidR="00C61827" w:rsidRDefault="00C61827" w:rsidP="0006231F">
      <w:pPr>
        <w:pStyle w:val="3"/>
        <w:keepNext w:val="0"/>
        <w:keepLines w:val="0"/>
        <w:spacing w:beforeLines="50" w:after="0" w:line="360" w:lineRule="auto"/>
        <w:rPr>
          <w:rFonts w:ascii="宋体" w:hAnsi="宋体"/>
          <w:bCs w:val="0"/>
          <w:sz w:val="24"/>
          <w:szCs w:val="24"/>
        </w:rPr>
      </w:pPr>
      <w:r>
        <w:rPr>
          <w:rFonts w:ascii="宋体" w:hAnsi="宋体" w:hint="eastAsia"/>
          <w:bCs w:val="0"/>
          <w:sz w:val="24"/>
          <w:szCs w:val="24"/>
        </w:rPr>
        <w:t>2．与分红相关的其他信息</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6526"/>
      </w:tblGrid>
      <w:tr w:rsidR="00C61827" w:rsidTr="00C561D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 xml:space="preserve">权益登记日 </w:t>
            </w:r>
          </w:p>
        </w:tc>
        <w:tc>
          <w:tcPr>
            <w:tcW w:w="6526"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color w:val="000000"/>
                <w:sz w:val="24"/>
              </w:rPr>
              <w:t>2023年12月25日</w:t>
            </w:r>
          </w:p>
        </w:tc>
      </w:tr>
      <w:tr w:rsidR="00C61827" w:rsidTr="00C561D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bCs/>
                <w:color w:val="000000"/>
                <w:sz w:val="24"/>
              </w:rPr>
            </w:pPr>
            <w:r>
              <w:rPr>
                <w:rFonts w:ascii="宋体" w:hAnsi="宋体" w:hint="eastAsia"/>
                <w:sz w:val="24"/>
              </w:rPr>
              <w:t xml:space="preserve">除息日 </w:t>
            </w:r>
          </w:p>
        </w:tc>
        <w:tc>
          <w:tcPr>
            <w:tcW w:w="6526"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bCs/>
                <w:color w:val="000000"/>
                <w:sz w:val="24"/>
              </w:rPr>
            </w:pPr>
            <w:r>
              <w:rPr>
                <w:rFonts w:ascii="宋体" w:hAnsi="宋体" w:hint="eastAsia"/>
                <w:color w:val="000000"/>
                <w:sz w:val="24"/>
              </w:rPr>
              <w:t>2023年12月25日</w:t>
            </w:r>
          </w:p>
        </w:tc>
      </w:tr>
      <w:tr w:rsidR="00C61827" w:rsidTr="00C561D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 xml:space="preserve">现金红利发放日 </w:t>
            </w:r>
          </w:p>
          <w:p w:rsidR="00C61827" w:rsidRDefault="00C61827">
            <w:pPr>
              <w:rPr>
                <w:bCs/>
                <w:color w:val="000000"/>
                <w:sz w:val="24"/>
              </w:rPr>
            </w:pPr>
            <w:r>
              <w:rPr>
                <w:rFonts w:ascii="宋体" w:hAnsi="宋体" w:cs="宋体" w:hint="eastAsia"/>
                <w:sz w:val="18"/>
                <w:szCs w:val="18"/>
              </w:rPr>
              <w:t>（“现金红利发放日”是指现金红利划出托管户的日期）</w:t>
            </w:r>
          </w:p>
        </w:tc>
        <w:tc>
          <w:tcPr>
            <w:tcW w:w="6526"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bCs/>
                <w:color w:val="000000"/>
                <w:sz w:val="24"/>
              </w:rPr>
            </w:pPr>
            <w:r>
              <w:rPr>
                <w:rFonts w:ascii="宋体" w:hAnsi="宋体" w:hint="eastAsia"/>
                <w:color w:val="000000"/>
                <w:sz w:val="24"/>
              </w:rPr>
              <w:t>2023年12月27日</w:t>
            </w:r>
          </w:p>
        </w:tc>
      </w:tr>
      <w:tr w:rsidR="00C61827" w:rsidTr="00C561D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分红对象</w:t>
            </w:r>
          </w:p>
        </w:tc>
        <w:tc>
          <w:tcPr>
            <w:tcW w:w="6526"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color w:val="000000"/>
                <w:sz w:val="24"/>
              </w:rPr>
              <w:t>权益登记日在本基金注册登记机构登记在册的本基金全体份额持有人</w:t>
            </w:r>
          </w:p>
        </w:tc>
      </w:tr>
      <w:tr w:rsidR="00C61827" w:rsidTr="00C561D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 xml:space="preserve">红利再投资相关事项的说明 </w:t>
            </w:r>
          </w:p>
        </w:tc>
        <w:tc>
          <w:tcPr>
            <w:tcW w:w="6526"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color w:val="000000"/>
                <w:sz w:val="24"/>
              </w:rPr>
              <w:t>本基金的分红方式可为现金分红方式或红利再投资方式，本基金默认的收益分配方式是现金分红；红利再投资部分以除息日的基金份额净值为计算基准确定再投资份额。红利再投基金份额登记过户日为2023年12月26日，自2023年12月27日起，投资者可以查询，并可以在基金合同规定的开放时间内赎回。</w:t>
            </w:r>
          </w:p>
        </w:tc>
      </w:tr>
      <w:tr w:rsidR="00C61827" w:rsidTr="00C561D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税收相关事项的说明</w:t>
            </w:r>
          </w:p>
        </w:tc>
        <w:tc>
          <w:tcPr>
            <w:tcW w:w="6526"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sz w:val="24"/>
              </w:rPr>
              <w:t>根据法律法规要求,基金向投资者分配的基金收益,暂免征收所得税。</w:t>
            </w:r>
          </w:p>
        </w:tc>
      </w:tr>
      <w:tr w:rsidR="00C61827" w:rsidTr="00C561D2">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rFonts w:ascii="宋体" w:hAnsi="宋体"/>
                <w:sz w:val="24"/>
              </w:rPr>
            </w:pPr>
            <w:r>
              <w:rPr>
                <w:rFonts w:ascii="宋体" w:hAnsi="宋体" w:hint="eastAsia"/>
                <w:sz w:val="24"/>
              </w:rPr>
              <w:t>费用相关事项的说明</w:t>
            </w:r>
          </w:p>
        </w:tc>
        <w:tc>
          <w:tcPr>
            <w:tcW w:w="6526" w:type="dxa"/>
            <w:tcBorders>
              <w:top w:val="single" w:sz="4" w:space="0" w:color="auto"/>
              <w:left w:val="single" w:sz="4" w:space="0" w:color="auto"/>
              <w:bottom w:val="single" w:sz="4" w:space="0" w:color="auto"/>
              <w:right w:val="single" w:sz="4" w:space="0" w:color="auto"/>
            </w:tcBorders>
            <w:vAlign w:val="center"/>
            <w:hideMark/>
          </w:tcPr>
          <w:p w:rsidR="00C61827" w:rsidRDefault="00C61827">
            <w:pPr>
              <w:rPr>
                <w:sz w:val="24"/>
              </w:rPr>
            </w:pPr>
            <w:r>
              <w:rPr>
                <w:rFonts w:ascii="宋体" w:hAnsi="宋体" w:hint="eastAsia"/>
                <w:color w:val="000000"/>
                <w:sz w:val="24"/>
              </w:rPr>
              <w:t>本基金本次分红免收分红手续费。</w:t>
            </w:r>
          </w:p>
        </w:tc>
      </w:tr>
    </w:tbl>
    <w:p w:rsidR="00C61827" w:rsidRDefault="00C61827" w:rsidP="0006231F">
      <w:pPr>
        <w:pStyle w:val="3"/>
        <w:keepNext w:val="0"/>
        <w:keepLines w:val="0"/>
        <w:spacing w:beforeLines="50" w:after="0" w:line="360" w:lineRule="auto"/>
        <w:rPr>
          <w:rFonts w:ascii="宋体" w:hAnsi="宋体"/>
          <w:bCs w:val="0"/>
          <w:sz w:val="24"/>
          <w:szCs w:val="24"/>
        </w:rPr>
      </w:pPr>
    </w:p>
    <w:p w:rsidR="00C61827" w:rsidRDefault="00C61827" w:rsidP="0006231F">
      <w:pPr>
        <w:pStyle w:val="3"/>
        <w:keepNext w:val="0"/>
        <w:keepLines w:val="0"/>
        <w:spacing w:beforeLines="50" w:after="0" w:line="360" w:lineRule="auto"/>
        <w:rPr>
          <w:rFonts w:ascii="宋体" w:hAnsi="宋体"/>
          <w:bCs w:val="0"/>
          <w:sz w:val="24"/>
          <w:szCs w:val="24"/>
        </w:rPr>
      </w:pPr>
      <w:r>
        <w:rPr>
          <w:rFonts w:ascii="宋体" w:hAnsi="宋体" w:hint="eastAsia"/>
          <w:bCs w:val="0"/>
          <w:sz w:val="24"/>
          <w:szCs w:val="24"/>
        </w:rPr>
        <w:t>3．其他需要提示的事项</w:t>
      </w:r>
    </w:p>
    <w:p w:rsidR="00C61827" w:rsidRDefault="00C61827" w:rsidP="00717927">
      <w:pPr>
        <w:spacing w:line="360" w:lineRule="auto"/>
        <w:ind w:firstLineChars="200" w:firstLine="480"/>
        <w:rPr>
          <w:rFonts w:ascii="宋体" w:hAnsi="宋体" w:cs="宋体"/>
          <w:bCs/>
          <w:color w:val="000000"/>
          <w:sz w:val="24"/>
          <w:szCs w:val="32"/>
        </w:rPr>
      </w:pPr>
      <w:r>
        <w:rPr>
          <w:rFonts w:ascii="宋体" w:hAnsi="宋体" w:cs="宋体" w:hint="eastAsia"/>
          <w:bCs/>
          <w:color w:val="000000"/>
          <w:sz w:val="24"/>
          <w:szCs w:val="32"/>
        </w:rPr>
        <w:t>（1）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w:t>
      </w:r>
      <w:r>
        <w:rPr>
          <w:rFonts w:ascii="宋体" w:hAnsi="宋体" w:cs="宋体" w:hint="eastAsia"/>
          <w:bCs/>
          <w:color w:val="000000"/>
          <w:sz w:val="24"/>
          <w:szCs w:val="32"/>
        </w:rPr>
        <w:br/>
        <w:t>  （2）权益登记日当天申请申购或转入的基金份额不享有本次分红权益，权益登记日当天申请赎回或转出的基金份额享有本次分红权益。</w:t>
      </w:r>
      <w:r>
        <w:rPr>
          <w:rFonts w:ascii="宋体" w:hAnsi="宋体" w:cs="宋体" w:hint="eastAsia"/>
          <w:bCs/>
          <w:color w:val="000000"/>
          <w:sz w:val="24"/>
          <w:szCs w:val="32"/>
        </w:rPr>
        <w:br/>
        <w:t>  （3）投资者可通过登录中欧基金管理有限公司网站（www.zofund.com），或拨打客户服务电话400-700-9700、021-68609700咨询相关信息。</w:t>
      </w:r>
    </w:p>
    <w:p w:rsidR="0028116F" w:rsidRDefault="0028116F" w:rsidP="00717927">
      <w:pPr>
        <w:spacing w:line="360" w:lineRule="auto"/>
        <w:ind w:firstLineChars="200" w:firstLine="480"/>
        <w:rPr>
          <w:bCs/>
          <w:color w:val="000000"/>
          <w:sz w:val="24"/>
          <w:szCs w:val="32"/>
        </w:rPr>
      </w:pPr>
    </w:p>
    <w:p w:rsidR="00C61827" w:rsidRDefault="00C61827" w:rsidP="00717927">
      <w:pPr>
        <w:spacing w:line="360" w:lineRule="auto"/>
        <w:ind w:firstLineChars="200" w:firstLine="480"/>
        <w:rPr>
          <w:rFonts w:ascii="宋体" w:hAnsi="宋体"/>
          <w:sz w:val="24"/>
        </w:rPr>
      </w:pPr>
      <w:r>
        <w:rPr>
          <w:rFonts w:ascii="宋体" w:hAnsi="宋体" w:hint="eastAsia"/>
          <w:sz w:val="24"/>
        </w:rPr>
        <w:t>特此公告。</w:t>
      </w:r>
    </w:p>
    <w:p w:rsidR="00C61827" w:rsidRDefault="00C61827" w:rsidP="00C61827"/>
    <w:p w:rsidR="00C61827" w:rsidRDefault="00C61827" w:rsidP="0006231F">
      <w:pPr>
        <w:pStyle w:val="3"/>
        <w:keepNext w:val="0"/>
        <w:keepLines w:val="0"/>
        <w:spacing w:beforeLines="50" w:after="0" w:line="360" w:lineRule="auto"/>
        <w:ind w:firstLine="420"/>
        <w:jc w:val="right"/>
        <w:rPr>
          <w:b w:val="0"/>
          <w:color w:val="000000"/>
          <w:sz w:val="24"/>
        </w:rPr>
      </w:pPr>
      <w:r>
        <w:rPr>
          <w:rFonts w:hint="eastAsia"/>
          <w:b w:val="0"/>
          <w:color w:val="000000"/>
          <w:sz w:val="24"/>
        </w:rPr>
        <w:t>中欧基金管理有限公司</w:t>
      </w:r>
    </w:p>
    <w:p w:rsidR="006F2C03" w:rsidRPr="001D4FEB" w:rsidRDefault="00C61827" w:rsidP="007B521E">
      <w:pPr>
        <w:pStyle w:val="3"/>
        <w:keepNext w:val="0"/>
        <w:keepLines w:val="0"/>
        <w:spacing w:beforeLines="50" w:after="0" w:line="360" w:lineRule="auto"/>
        <w:ind w:firstLine="420"/>
        <w:jc w:val="right"/>
        <w:rPr>
          <w:rFonts w:ascii="宋体" w:hAnsi="宋体"/>
          <w:b w:val="0"/>
          <w:color w:val="000000"/>
          <w:sz w:val="24"/>
          <w:szCs w:val="24"/>
        </w:rPr>
      </w:pPr>
      <w:r>
        <w:rPr>
          <w:rFonts w:ascii="宋体" w:hAnsi="宋体" w:hint="eastAsia"/>
          <w:b w:val="0"/>
          <w:color w:val="000000"/>
          <w:sz w:val="24"/>
          <w:szCs w:val="24"/>
        </w:rPr>
        <w:lastRenderedPageBreak/>
        <w:t>2023年12月22日</w:t>
      </w:r>
    </w:p>
    <w:sectPr w:rsidR="006F2C03" w:rsidRPr="001D4FEB" w:rsidSect="007B52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A1C" w:rsidRDefault="00DC6A1C" w:rsidP="00DC6A1C">
      <w:r>
        <w:separator/>
      </w:r>
    </w:p>
  </w:endnote>
  <w:endnote w:type="continuationSeparator" w:id="0">
    <w:p w:rsidR="00DC6A1C" w:rsidRDefault="00DC6A1C" w:rsidP="00DC6A1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A1C" w:rsidRDefault="00DC6A1C" w:rsidP="00DC6A1C">
      <w:r>
        <w:separator/>
      </w:r>
    </w:p>
  </w:footnote>
  <w:footnote w:type="continuationSeparator" w:id="0">
    <w:p w:rsidR="00DC6A1C" w:rsidRDefault="00DC6A1C" w:rsidP="00DC6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827"/>
    <w:rsid w:val="00001230"/>
    <w:rsid w:val="0006231F"/>
    <w:rsid w:val="001072F0"/>
    <w:rsid w:val="00150AC7"/>
    <w:rsid w:val="001829F9"/>
    <w:rsid w:val="001D4FEB"/>
    <w:rsid w:val="00251466"/>
    <w:rsid w:val="0028116F"/>
    <w:rsid w:val="00503F01"/>
    <w:rsid w:val="006F2C03"/>
    <w:rsid w:val="00717927"/>
    <w:rsid w:val="007B521E"/>
    <w:rsid w:val="00A05870"/>
    <w:rsid w:val="00A0703B"/>
    <w:rsid w:val="00C561D2"/>
    <w:rsid w:val="00C61827"/>
    <w:rsid w:val="00DC6A1C"/>
    <w:rsid w:val="00FE4F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27"/>
    <w:pPr>
      <w:widowControl w:val="0"/>
      <w:jc w:val="both"/>
    </w:pPr>
    <w:rPr>
      <w:rFonts w:ascii="Times New Roman" w:eastAsia="宋体" w:hAnsi="Times New Roman"/>
      <w:kern w:val="2"/>
      <w:sz w:val="21"/>
      <w:szCs w:val="24"/>
    </w:rPr>
  </w:style>
  <w:style w:type="paragraph" w:styleId="3">
    <w:name w:val="heading 3"/>
    <w:basedOn w:val="a"/>
    <w:next w:val="a"/>
    <w:link w:val="3Char"/>
    <w:unhideWhenUsed/>
    <w:qFormat/>
    <w:rsid w:val="00C6182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qFormat/>
    <w:rsid w:val="00C61827"/>
    <w:rPr>
      <w:rFonts w:ascii="Times New Roman" w:eastAsia="宋体" w:hAnsi="Times New Roman" w:cs="Times New Roman"/>
      <w:b/>
      <w:bCs/>
      <w:sz w:val="32"/>
      <w:szCs w:val="32"/>
    </w:rPr>
  </w:style>
  <w:style w:type="paragraph" w:customStyle="1" w:styleId="a3">
    <w:rsid w:val="007B521E"/>
    <w:rPr>
      <w:rFonts w:ascii="宋体"/>
    </w:rPr>
  </w:style>
  <w:style w:type="paragraph" w:styleId="a4">
    <w:name w:val="Balloon Text"/>
    <w:basedOn w:val="a"/>
    <w:link w:val="Char"/>
    <w:uiPriority w:val="99"/>
    <w:semiHidden/>
    <w:unhideWhenUsed/>
    <w:rsid w:val="00001230"/>
    <w:rPr>
      <w:sz w:val="18"/>
      <w:szCs w:val="18"/>
    </w:rPr>
  </w:style>
  <w:style w:type="character" w:customStyle="1" w:styleId="Char">
    <w:name w:val="批注框文本 Char"/>
    <w:basedOn w:val="a0"/>
    <w:link w:val="a4"/>
    <w:uiPriority w:val="99"/>
    <w:semiHidden/>
    <w:rsid w:val="00001230"/>
    <w:rPr>
      <w:rFonts w:ascii="Times New Roman" w:eastAsia="宋体" w:hAnsi="Times New Roman"/>
      <w:kern w:val="2"/>
      <w:sz w:val="18"/>
      <w:szCs w:val="18"/>
    </w:rPr>
  </w:style>
  <w:style w:type="paragraph" w:styleId="a5">
    <w:name w:val="header"/>
    <w:basedOn w:val="a"/>
    <w:link w:val="Char0"/>
    <w:uiPriority w:val="99"/>
    <w:unhideWhenUsed/>
    <w:rsid w:val="00DC6A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6A1C"/>
    <w:rPr>
      <w:rFonts w:ascii="Times New Roman" w:eastAsia="宋体" w:hAnsi="Times New Roman"/>
      <w:kern w:val="2"/>
      <w:sz w:val="18"/>
      <w:szCs w:val="18"/>
    </w:rPr>
  </w:style>
  <w:style w:type="paragraph" w:styleId="a6">
    <w:name w:val="footer"/>
    <w:basedOn w:val="a"/>
    <w:link w:val="Char1"/>
    <w:uiPriority w:val="99"/>
    <w:unhideWhenUsed/>
    <w:rsid w:val="00DC6A1C"/>
    <w:pPr>
      <w:tabs>
        <w:tab w:val="center" w:pos="4153"/>
        <w:tab w:val="right" w:pos="8306"/>
      </w:tabs>
      <w:snapToGrid w:val="0"/>
      <w:jc w:val="left"/>
    </w:pPr>
    <w:rPr>
      <w:sz w:val="18"/>
      <w:szCs w:val="18"/>
    </w:rPr>
  </w:style>
  <w:style w:type="character" w:customStyle="1" w:styleId="Char1">
    <w:name w:val="页脚 Char"/>
    <w:basedOn w:val="a0"/>
    <w:link w:val="a6"/>
    <w:uiPriority w:val="99"/>
    <w:rsid w:val="00DC6A1C"/>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011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4</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业务管理员</dc:creator>
  <cp:lastModifiedBy>ZHONGM</cp:lastModifiedBy>
  <cp:revision>2</cp:revision>
  <dcterms:created xsi:type="dcterms:W3CDTF">2023-12-21T16:01:00Z</dcterms:created>
  <dcterms:modified xsi:type="dcterms:W3CDTF">2023-12-21T16:01:00Z</dcterms:modified>
</cp:coreProperties>
</file>