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5" w:rsidRPr="00D02E85" w:rsidRDefault="00D02E85" w:rsidP="00D02E85">
      <w:pPr>
        <w:widowControl/>
        <w:jc w:val="center"/>
        <w:rPr>
          <w:kern w:val="0"/>
          <w:sz w:val="24"/>
        </w:rPr>
      </w:pPr>
      <w:r w:rsidRPr="00D02E85">
        <w:rPr>
          <w:b/>
          <w:bCs/>
          <w:kern w:val="36"/>
          <w:sz w:val="28"/>
          <w:szCs w:val="28"/>
        </w:rPr>
        <w:t>关于万家稳健增利债券型证券投资基金恢复大额申购（含转换转入、定期定额投资）业务的公告</w:t>
      </w:r>
    </w:p>
    <w:p w:rsidR="00D02E85" w:rsidRPr="00D02E85" w:rsidRDefault="00D02E85" w:rsidP="00D02E85">
      <w:pPr>
        <w:widowControl/>
        <w:spacing w:line="312" w:lineRule="auto"/>
        <w:ind w:firstLineChars="1050" w:firstLine="2530"/>
        <w:jc w:val="left"/>
        <w:rPr>
          <w:b/>
          <w:bCs/>
          <w:kern w:val="0"/>
          <w:sz w:val="24"/>
        </w:rPr>
      </w:pPr>
      <w:r w:rsidRPr="00D02E85">
        <w:rPr>
          <w:b/>
          <w:bCs/>
          <w:kern w:val="0"/>
          <w:sz w:val="24"/>
        </w:rPr>
        <w:t>公告送出日期：</w:t>
      </w:r>
      <w:r w:rsidRPr="00D02E85">
        <w:rPr>
          <w:b/>
          <w:bCs/>
          <w:kern w:val="0"/>
          <w:sz w:val="24"/>
        </w:rPr>
        <w:t>2023</w:t>
      </w:r>
      <w:r w:rsidRPr="00D02E85">
        <w:rPr>
          <w:b/>
          <w:bCs/>
          <w:kern w:val="0"/>
          <w:sz w:val="24"/>
        </w:rPr>
        <w:t>年</w:t>
      </w:r>
      <w:r w:rsidRPr="00D02E85">
        <w:rPr>
          <w:b/>
          <w:bCs/>
          <w:kern w:val="0"/>
          <w:sz w:val="24"/>
        </w:rPr>
        <w:t>12</w:t>
      </w:r>
      <w:r w:rsidRPr="00D02E85">
        <w:rPr>
          <w:b/>
          <w:bCs/>
          <w:kern w:val="0"/>
          <w:sz w:val="24"/>
        </w:rPr>
        <w:t>月</w:t>
      </w:r>
      <w:r w:rsidRPr="00D02E85">
        <w:rPr>
          <w:b/>
          <w:bCs/>
          <w:kern w:val="0"/>
          <w:sz w:val="24"/>
        </w:rPr>
        <w:t>2</w:t>
      </w:r>
      <w:r w:rsidR="002B0635">
        <w:rPr>
          <w:b/>
          <w:bCs/>
          <w:kern w:val="0"/>
          <w:sz w:val="24"/>
        </w:rPr>
        <w:t>2</w:t>
      </w:r>
      <w:r w:rsidRPr="00D02E85">
        <w:rPr>
          <w:b/>
          <w:bCs/>
          <w:kern w:val="0"/>
          <w:sz w:val="24"/>
        </w:rPr>
        <w:t>日</w:t>
      </w:r>
    </w:p>
    <w:p w:rsidR="00D02E85" w:rsidRPr="00D02E85" w:rsidRDefault="00D02E85" w:rsidP="00D02E85">
      <w:pPr>
        <w:widowControl/>
        <w:spacing w:line="312" w:lineRule="auto"/>
        <w:ind w:firstLineChars="1050" w:firstLine="2520"/>
        <w:jc w:val="left"/>
        <w:rPr>
          <w:kern w:val="0"/>
          <w:sz w:val="24"/>
        </w:rPr>
      </w:pPr>
    </w:p>
    <w:p w:rsidR="00D02E85" w:rsidRPr="00D02E85" w:rsidRDefault="00D02E85" w:rsidP="00D02E85">
      <w:pPr>
        <w:widowControl/>
        <w:spacing w:line="312" w:lineRule="auto"/>
        <w:jc w:val="left"/>
        <w:rPr>
          <w:b/>
          <w:kern w:val="0"/>
          <w:szCs w:val="21"/>
        </w:rPr>
      </w:pPr>
      <w:r w:rsidRPr="00D02E85">
        <w:rPr>
          <w:b/>
          <w:kern w:val="0"/>
          <w:szCs w:val="21"/>
        </w:rPr>
        <w:t>1.</w:t>
      </w:r>
      <w:r w:rsidRPr="00D02E85">
        <w:rPr>
          <w:b/>
          <w:kern w:val="0"/>
          <w:szCs w:val="21"/>
        </w:rPr>
        <w:t>公告基本信息</w:t>
      </w:r>
    </w:p>
    <w:tbl>
      <w:tblPr>
        <w:tblW w:w="4846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9"/>
        <w:gridCol w:w="2615"/>
        <w:gridCol w:w="2925"/>
      </w:tblGrid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基金名称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万家稳健增利债券型证券投资基金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基金简称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万家稳增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基金主代码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519186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基金管理人名称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万家基金管理有限公司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公告依据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594075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根据《中华人民共和国证券投资基金法》《公开募集证券投资基金运作管理办法》的有关规定、《万家稳健增利债券型证券投资基金基金合同》《万家稳健增利债券型证券投资基金招募说明书》的有关约定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恢复大额申购（含转换转入、定期定额投资）业务起始日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E85" w:rsidRPr="00D02E85" w:rsidRDefault="00D02E85" w:rsidP="002B0635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2023</w:t>
            </w:r>
            <w:r w:rsidRPr="00D02E85">
              <w:rPr>
                <w:kern w:val="0"/>
                <w:szCs w:val="21"/>
              </w:rPr>
              <w:t>年</w:t>
            </w:r>
            <w:r w:rsidRPr="00D02E85">
              <w:rPr>
                <w:kern w:val="0"/>
                <w:szCs w:val="21"/>
              </w:rPr>
              <w:t>12</w:t>
            </w:r>
            <w:r w:rsidRPr="00D02E85">
              <w:rPr>
                <w:kern w:val="0"/>
                <w:szCs w:val="21"/>
              </w:rPr>
              <w:t>月</w:t>
            </w:r>
            <w:r w:rsidRPr="00D02E85">
              <w:rPr>
                <w:kern w:val="0"/>
                <w:szCs w:val="21"/>
              </w:rPr>
              <w:t>2</w:t>
            </w:r>
            <w:r w:rsidR="002B0635">
              <w:rPr>
                <w:kern w:val="0"/>
                <w:szCs w:val="21"/>
              </w:rPr>
              <w:t>2</w:t>
            </w:r>
            <w:r w:rsidRPr="00D02E85">
              <w:rPr>
                <w:kern w:val="0"/>
                <w:szCs w:val="21"/>
              </w:rPr>
              <w:t>日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恢复大额申购（含转换转入、定期定额投资）业务的原因说明</w:t>
            </w:r>
          </w:p>
        </w:tc>
        <w:tc>
          <w:tcPr>
            <w:tcW w:w="31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为了满足广大投资者的需求。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下属分级基金的基金简称</w:t>
            </w:r>
          </w:p>
        </w:tc>
        <w:tc>
          <w:tcPr>
            <w:tcW w:w="15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万家稳增</w:t>
            </w:r>
            <w:r w:rsidRPr="00D02E85">
              <w:rPr>
                <w:kern w:val="0"/>
                <w:szCs w:val="21"/>
              </w:rPr>
              <w:t xml:space="preserve">A </w:t>
            </w:r>
          </w:p>
        </w:tc>
        <w:tc>
          <w:tcPr>
            <w:tcW w:w="1689" w:type="pct"/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万家稳增</w:t>
            </w:r>
            <w:r w:rsidRPr="00D02E85">
              <w:rPr>
                <w:kern w:val="0"/>
                <w:szCs w:val="21"/>
              </w:rPr>
              <w:t>C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下属分级基金的交易代码</w:t>
            </w:r>
          </w:p>
        </w:tc>
        <w:tc>
          <w:tcPr>
            <w:tcW w:w="151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color w:val="000000"/>
                <w:sz w:val="22"/>
                <w:szCs w:val="22"/>
              </w:rPr>
              <w:t>519186</w:t>
            </w:r>
          </w:p>
        </w:tc>
        <w:tc>
          <w:tcPr>
            <w:tcW w:w="1689" w:type="pct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color w:val="000000"/>
                <w:sz w:val="22"/>
                <w:szCs w:val="22"/>
              </w:rPr>
              <w:t>519187</w:t>
            </w:r>
          </w:p>
        </w:tc>
      </w:tr>
      <w:tr w:rsidR="00D02E85" w:rsidRPr="00D02E85" w:rsidTr="0018441E"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该分级基金是否恢复大额申购（含转换转入、定期定额投资）业务</w:t>
            </w:r>
          </w:p>
        </w:tc>
        <w:tc>
          <w:tcPr>
            <w:tcW w:w="15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是</w:t>
            </w:r>
          </w:p>
        </w:tc>
        <w:tc>
          <w:tcPr>
            <w:tcW w:w="1689" w:type="pct"/>
            <w:vAlign w:val="center"/>
          </w:tcPr>
          <w:p w:rsidR="00D02E85" w:rsidRPr="00D02E85" w:rsidRDefault="00D02E85" w:rsidP="0018441E">
            <w:pPr>
              <w:widowControl/>
              <w:spacing w:line="312" w:lineRule="auto"/>
              <w:jc w:val="left"/>
              <w:rPr>
                <w:kern w:val="0"/>
                <w:szCs w:val="21"/>
              </w:rPr>
            </w:pPr>
            <w:r w:rsidRPr="00D02E85">
              <w:rPr>
                <w:kern w:val="0"/>
                <w:szCs w:val="21"/>
              </w:rPr>
              <w:t>是</w:t>
            </w:r>
          </w:p>
        </w:tc>
      </w:tr>
    </w:tbl>
    <w:p w:rsidR="00D02E85" w:rsidRPr="00D02E85" w:rsidRDefault="00D02E85" w:rsidP="00D02E85">
      <w:pPr>
        <w:widowControl/>
        <w:spacing w:line="312" w:lineRule="auto"/>
        <w:ind w:firstLineChars="200" w:firstLine="422"/>
        <w:jc w:val="left"/>
        <w:rPr>
          <w:b/>
          <w:kern w:val="0"/>
          <w:szCs w:val="21"/>
        </w:rPr>
      </w:pPr>
    </w:p>
    <w:p w:rsidR="00D02E85" w:rsidRPr="00D02E85" w:rsidRDefault="00D02E85" w:rsidP="00D02E85">
      <w:pPr>
        <w:widowControl/>
        <w:spacing w:line="312" w:lineRule="auto"/>
        <w:ind w:firstLineChars="200" w:firstLine="422"/>
        <w:jc w:val="left"/>
        <w:outlineLvl w:val="0"/>
        <w:rPr>
          <w:b/>
          <w:kern w:val="0"/>
          <w:szCs w:val="21"/>
        </w:rPr>
      </w:pPr>
      <w:r w:rsidRPr="00D02E85">
        <w:rPr>
          <w:b/>
          <w:kern w:val="0"/>
          <w:szCs w:val="21"/>
        </w:rPr>
        <w:t>2.</w:t>
      </w:r>
      <w:r w:rsidRPr="00D02E85">
        <w:rPr>
          <w:b/>
          <w:kern w:val="0"/>
          <w:szCs w:val="21"/>
        </w:rPr>
        <w:t>其他需要提示的事项</w:t>
      </w:r>
    </w:p>
    <w:p w:rsidR="00D02E85" w:rsidRPr="00D02E85" w:rsidRDefault="00D02E85" w:rsidP="00D02E85">
      <w:pPr>
        <w:widowControl/>
        <w:spacing w:line="312" w:lineRule="auto"/>
        <w:ind w:firstLineChars="200" w:firstLine="420"/>
        <w:jc w:val="left"/>
        <w:rPr>
          <w:bCs/>
          <w:kern w:val="0"/>
          <w:szCs w:val="21"/>
        </w:rPr>
      </w:pPr>
      <w:r w:rsidRPr="00D02E85">
        <w:rPr>
          <w:bCs/>
          <w:kern w:val="0"/>
          <w:szCs w:val="21"/>
        </w:rPr>
        <w:t>（</w:t>
      </w:r>
      <w:r w:rsidRPr="00D02E85">
        <w:rPr>
          <w:bCs/>
          <w:kern w:val="0"/>
          <w:szCs w:val="21"/>
        </w:rPr>
        <w:t>1</w:t>
      </w:r>
      <w:r w:rsidRPr="00D02E85">
        <w:rPr>
          <w:bCs/>
          <w:kern w:val="0"/>
          <w:szCs w:val="21"/>
        </w:rPr>
        <w:t>）为满足广大投资者的需求，本基金管理人决定从</w:t>
      </w:r>
      <w:r w:rsidRPr="00D02E85">
        <w:rPr>
          <w:bCs/>
          <w:kern w:val="0"/>
          <w:szCs w:val="21"/>
        </w:rPr>
        <w:t>2023</w:t>
      </w:r>
      <w:r w:rsidRPr="00D02E85">
        <w:rPr>
          <w:bCs/>
          <w:kern w:val="0"/>
          <w:szCs w:val="21"/>
        </w:rPr>
        <w:t>年</w:t>
      </w:r>
      <w:r w:rsidRPr="00D02E85">
        <w:rPr>
          <w:bCs/>
          <w:kern w:val="0"/>
          <w:szCs w:val="21"/>
        </w:rPr>
        <w:t>12</w:t>
      </w:r>
      <w:bookmarkStart w:id="0" w:name="_GoBack"/>
      <w:bookmarkEnd w:id="0"/>
      <w:r w:rsidRPr="00D02E85">
        <w:rPr>
          <w:bCs/>
          <w:kern w:val="0"/>
          <w:szCs w:val="21"/>
        </w:rPr>
        <w:t>月</w:t>
      </w:r>
      <w:r w:rsidR="002B0635">
        <w:rPr>
          <w:bCs/>
          <w:kern w:val="0"/>
          <w:szCs w:val="21"/>
        </w:rPr>
        <w:t>22</w:t>
      </w:r>
      <w:r w:rsidRPr="00D02E85">
        <w:rPr>
          <w:bCs/>
          <w:kern w:val="0"/>
          <w:szCs w:val="21"/>
        </w:rPr>
        <w:t>日起，取消对本基金单日单个基金账户单笔或多笔累计金额</w:t>
      </w:r>
      <w:r w:rsidRPr="00D02E85">
        <w:rPr>
          <w:bCs/>
          <w:kern w:val="0"/>
          <w:szCs w:val="21"/>
        </w:rPr>
        <w:t>100</w:t>
      </w:r>
      <w:r w:rsidRPr="00D02E85">
        <w:rPr>
          <w:bCs/>
          <w:kern w:val="0"/>
          <w:szCs w:val="21"/>
        </w:rPr>
        <w:t>万元以上的</w:t>
      </w:r>
      <w:r w:rsidRPr="00D02E85">
        <w:rPr>
          <w:kern w:val="0"/>
          <w:szCs w:val="21"/>
        </w:rPr>
        <w:t>大额申购（含转换转入、定期定额投资）</w:t>
      </w:r>
      <w:r w:rsidRPr="00D02E85">
        <w:rPr>
          <w:bCs/>
          <w:kern w:val="0"/>
          <w:szCs w:val="21"/>
        </w:rPr>
        <w:t>申请的限制。</w:t>
      </w:r>
    </w:p>
    <w:p w:rsidR="00D02E85" w:rsidRPr="00D02E85" w:rsidRDefault="00D02E85" w:rsidP="00D02E85">
      <w:pPr>
        <w:widowControl/>
        <w:spacing w:line="312" w:lineRule="auto"/>
        <w:ind w:firstLineChars="200" w:firstLine="420"/>
        <w:rPr>
          <w:bCs/>
          <w:kern w:val="0"/>
          <w:szCs w:val="21"/>
        </w:rPr>
      </w:pPr>
      <w:r w:rsidRPr="00D02E85">
        <w:rPr>
          <w:bCs/>
          <w:kern w:val="0"/>
          <w:szCs w:val="21"/>
        </w:rPr>
        <w:t>（</w:t>
      </w:r>
      <w:r w:rsidRPr="00D02E85">
        <w:rPr>
          <w:bCs/>
          <w:kern w:val="0"/>
          <w:szCs w:val="21"/>
        </w:rPr>
        <w:t>2</w:t>
      </w:r>
      <w:r w:rsidRPr="00D02E85">
        <w:rPr>
          <w:bCs/>
          <w:kern w:val="0"/>
          <w:szCs w:val="21"/>
        </w:rPr>
        <w:t>）投资者可拨打本公司的客户服务电话（</w:t>
      </w:r>
      <w:r w:rsidRPr="00D02E85">
        <w:rPr>
          <w:bCs/>
          <w:kern w:val="0"/>
          <w:szCs w:val="21"/>
        </w:rPr>
        <w:t>400-888-0800</w:t>
      </w:r>
      <w:r w:rsidRPr="00D02E85">
        <w:rPr>
          <w:bCs/>
          <w:kern w:val="0"/>
          <w:szCs w:val="21"/>
        </w:rPr>
        <w:t>）或通过本公司网站（</w:t>
      </w:r>
      <w:r w:rsidRPr="00D02E85">
        <w:rPr>
          <w:bCs/>
          <w:kern w:val="0"/>
          <w:szCs w:val="21"/>
        </w:rPr>
        <w:t>www.wjasset.com</w:t>
      </w:r>
      <w:r w:rsidRPr="00D02E85">
        <w:rPr>
          <w:bCs/>
          <w:kern w:val="0"/>
          <w:szCs w:val="21"/>
        </w:rPr>
        <w:t>）咨询相关信息。</w:t>
      </w:r>
    </w:p>
    <w:p w:rsidR="00D02E85" w:rsidRPr="00D02E85" w:rsidRDefault="00D02E85" w:rsidP="00D02E85">
      <w:pPr>
        <w:widowControl/>
        <w:spacing w:line="312" w:lineRule="auto"/>
        <w:ind w:firstLineChars="200" w:firstLine="420"/>
        <w:jc w:val="left"/>
        <w:rPr>
          <w:bCs/>
          <w:kern w:val="0"/>
          <w:szCs w:val="21"/>
        </w:rPr>
      </w:pPr>
      <w:r w:rsidRPr="00D02E85">
        <w:rPr>
          <w:bCs/>
          <w:kern w:val="0"/>
          <w:szCs w:val="21"/>
        </w:rPr>
        <w:lastRenderedPageBreak/>
        <w:t>（</w:t>
      </w:r>
      <w:r w:rsidRPr="00D02E85">
        <w:rPr>
          <w:bCs/>
          <w:kern w:val="0"/>
          <w:szCs w:val="21"/>
        </w:rPr>
        <w:t>3</w:t>
      </w:r>
      <w:r w:rsidRPr="00D02E85">
        <w:rPr>
          <w:bCs/>
          <w:kern w:val="0"/>
          <w:szCs w:val="21"/>
        </w:rPr>
        <w:t>）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D02E85" w:rsidRPr="00D02E85" w:rsidRDefault="00D02E85" w:rsidP="00D02E85">
      <w:pPr>
        <w:widowControl/>
        <w:spacing w:line="312" w:lineRule="auto"/>
        <w:ind w:firstLineChars="200" w:firstLine="420"/>
        <w:jc w:val="left"/>
        <w:rPr>
          <w:bCs/>
          <w:kern w:val="0"/>
          <w:szCs w:val="21"/>
        </w:rPr>
      </w:pPr>
    </w:p>
    <w:p w:rsidR="00D02E85" w:rsidRPr="00D02E85" w:rsidRDefault="00D02E85" w:rsidP="00D02E85">
      <w:pPr>
        <w:widowControl/>
        <w:spacing w:line="312" w:lineRule="auto"/>
        <w:ind w:firstLine="420"/>
        <w:jc w:val="left"/>
        <w:rPr>
          <w:kern w:val="0"/>
          <w:szCs w:val="21"/>
        </w:rPr>
      </w:pPr>
      <w:r w:rsidRPr="00D02E85">
        <w:rPr>
          <w:kern w:val="0"/>
          <w:szCs w:val="21"/>
        </w:rPr>
        <w:t>特此公告。</w:t>
      </w:r>
    </w:p>
    <w:p w:rsidR="00D02E85" w:rsidRPr="00D02E85" w:rsidRDefault="00D02E85" w:rsidP="00D02E85">
      <w:pPr>
        <w:widowControl/>
        <w:spacing w:line="312" w:lineRule="auto"/>
        <w:ind w:firstLine="420"/>
        <w:jc w:val="left"/>
        <w:rPr>
          <w:kern w:val="0"/>
          <w:szCs w:val="21"/>
        </w:rPr>
      </w:pPr>
    </w:p>
    <w:p w:rsidR="00D02E85" w:rsidRPr="00D02E85" w:rsidRDefault="00D02E85" w:rsidP="00D02E85">
      <w:pPr>
        <w:widowControl/>
        <w:spacing w:line="312" w:lineRule="auto"/>
        <w:ind w:firstLine="420"/>
        <w:jc w:val="left"/>
        <w:rPr>
          <w:kern w:val="0"/>
          <w:szCs w:val="21"/>
        </w:rPr>
      </w:pPr>
    </w:p>
    <w:p w:rsidR="00D02E85" w:rsidRPr="00D02E85" w:rsidRDefault="00D02E85" w:rsidP="00D02E85">
      <w:pPr>
        <w:widowControl/>
        <w:spacing w:line="312" w:lineRule="auto"/>
        <w:ind w:firstLineChars="200" w:firstLine="420"/>
        <w:jc w:val="right"/>
        <w:rPr>
          <w:kern w:val="0"/>
          <w:szCs w:val="21"/>
        </w:rPr>
      </w:pPr>
      <w:r w:rsidRPr="00D02E85">
        <w:rPr>
          <w:kern w:val="0"/>
          <w:szCs w:val="21"/>
        </w:rPr>
        <w:t>万家基金管理有限公司</w:t>
      </w:r>
    </w:p>
    <w:p w:rsidR="00D02E85" w:rsidRPr="00D02E85" w:rsidRDefault="00D02E85" w:rsidP="00D02E85">
      <w:pPr>
        <w:jc w:val="right"/>
        <w:rPr>
          <w:kern w:val="0"/>
          <w:szCs w:val="21"/>
        </w:rPr>
      </w:pPr>
      <w:r w:rsidRPr="00D02E85">
        <w:rPr>
          <w:kern w:val="0"/>
          <w:szCs w:val="21"/>
        </w:rPr>
        <w:t xml:space="preserve">                                                            2023</w:t>
      </w:r>
      <w:r w:rsidRPr="00D02E85">
        <w:rPr>
          <w:kern w:val="0"/>
          <w:szCs w:val="21"/>
        </w:rPr>
        <w:t>年</w:t>
      </w:r>
      <w:r w:rsidRPr="00D02E85">
        <w:rPr>
          <w:kern w:val="0"/>
          <w:szCs w:val="21"/>
        </w:rPr>
        <w:t>12</w:t>
      </w:r>
      <w:r w:rsidRPr="00D02E85">
        <w:rPr>
          <w:kern w:val="0"/>
          <w:szCs w:val="21"/>
        </w:rPr>
        <w:t>月</w:t>
      </w:r>
      <w:r w:rsidRPr="00D02E85">
        <w:rPr>
          <w:kern w:val="0"/>
          <w:szCs w:val="21"/>
        </w:rPr>
        <w:t>2</w:t>
      </w:r>
      <w:r w:rsidR="002B0635">
        <w:rPr>
          <w:kern w:val="0"/>
          <w:szCs w:val="21"/>
        </w:rPr>
        <w:t>2</w:t>
      </w:r>
      <w:r w:rsidRPr="00D02E85">
        <w:rPr>
          <w:kern w:val="0"/>
          <w:szCs w:val="21"/>
        </w:rPr>
        <w:t>日</w:t>
      </w:r>
    </w:p>
    <w:p w:rsidR="00D02E85" w:rsidRPr="00D02E85" w:rsidRDefault="00D02E85" w:rsidP="00D02E85">
      <w:pPr>
        <w:widowControl/>
        <w:spacing w:line="312" w:lineRule="auto"/>
        <w:ind w:firstLineChars="200" w:firstLine="420"/>
        <w:jc w:val="left"/>
        <w:rPr>
          <w:kern w:val="0"/>
          <w:szCs w:val="21"/>
        </w:rPr>
      </w:pPr>
    </w:p>
    <w:p w:rsidR="006D2C73" w:rsidRPr="00D02E85" w:rsidRDefault="003824D6"/>
    <w:sectPr w:rsidR="006D2C73" w:rsidRPr="00D02E85" w:rsidSect="00757C1C">
      <w:footerReference w:type="even" r:id="rId6"/>
      <w:footerReference w:type="default" r:id="rId7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2F" w:rsidRDefault="00DB422F" w:rsidP="00D02E85">
      <w:r>
        <w:separator/>
      </w:r>
    </w:p>
  </w:endnote>
  <w:endnote w:type="continuationSeparator" w:id="0">
    <w:p w:rsidR="00DB422F" w:rsidRDefault="00DB422F" w:rsidP="00D0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764A1" w:rsidP="00D14A64">
    <w:pPr>
      <w:pStyle w:val="a3"/>
      <w:framePr w:w="4620" w:wrap="around" w:vAnchor="text" w:hAnchor="page" w:x="1532" w:y="7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-</w:t>
    </w:r>
    <w:r w:rsidR="00D30881" w:rsidRPr="00D14A64">
      <w:rPr>
        <w:rStyle w:val="a4"/>
        <w:rFonts w:ascii="宋体" w:hAnsi="宋体"/>
        <w:sz w:val="28"/>
        <w:szCs w:val="28"/>
      </w:rPr>
      <w:fldChar w:fldCharType="begin"/>
    </w:r>
    <w:r w:rsidRPr="00D14A64">
      <w:rPr>
        <w:rStyle w:val="a4"/>
        <w:rFonts w:ascii="宋体" w:hAnsi="宋体"/>
        <w:sz w:val="28"/>
        <w:szCs w:val="28"/>
      </w:rPr>
      <w:instrText xml:space="preserve">PAGE  </w:instrText>
    </w:r>
    <w:r w:rsidR="00D30881" w:rsidRPr="00D14A6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D30881" w:rsidRPr="00D14A6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-</w:t>
    </w:r>
  </w:p>
  <w:p w:rsidR="006016EA" w:rsidRDefault="003824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764A1" w:rsidP="00395177">
    <w:pPr>
      <w:pStyle w:val="a3"/>
      <w:framePr w:w="4905" w:wrap="around" w:vAnchor="text" w:hAnchor="page" w:x="5482" w:y="7"/>
      <w:ind w:firstLineChars="1500" w:firstLine="420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-</w:t>
    </w:r>
    <w:r w:rsidR="00D30881" w:rsidRPr="00395177">
      <w:rPr>
        <w:rStyle w:val="a4"/>
        <w:rFonts w:ascii="宋体" w:hAnsi="宋体"/>
        <w:sz w:val="28"/>
        <w:szCs w:val="28"/>
      </w:rPr>
      <w:fldChar w:fldCharType="begin"/>
    </w:r>
    <w:r w:rsidRPr="00395177">
      <w:rPr>
        <w:rStyle w:val="a4"/>
        <w:rFonts w:ascii="宋体" w:hAnsi="宋体"/>
        <w:sz w:val="28"/>
        <w:szCs w:val="28"/>
      </w:rPr>
      <w:instrText xml:space="preserve">PAGE  </w:instrText>
    </w:r>
    <w:r w:rsidR="00D30881" w:rsidRPr="00395177">
      <w:rPr>
        <w:rStyle w:val="a4"/>
        <w:rFonts w:ascii="宋体" w:hAnsi="宋体"/>
        <w:sz w:val="28"/>
        <w:szCs w:val="28"/>
      </w:rPr>
      <w:fldChar w:fldCharType="separate"/>
    </w:r>
    <w:r w:rsidR="003824D6">
      <w:rPr>
        <w:rStyle w:val="a4"/>
        <w:rFonts w:ascii="宋体" w:hAnsi="宋体"/>
        <w:noProof/>
        <w:sz w:val="28"/>
        <w:szCs w:val="28"/>
      </w:rPr>
      <w:t>1</w:t>
    </w:r>
    <w:r w:rsidR="00D30881" w:rsidRPr="0039517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-</w:t>
    </w:r>
  </w:p>
  <w:p w:rsidR="006016EA" w:rsidRDefault="003824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2F" w:rsidRDefault="00DB422F" w:rsidP="00D02E85">
      <w:r>
        <w:separator/>
      </w:r>
    </w:p>
  </w:footnote>
  <w:footnote w:type="continuationSeparator" w:id="0">
    <w:p w:rsidR="00DB422F" w:rsidRDefault="00DB422F" w:rsidP="00D0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E85"/>
    <w:rsid w:val="002B0635"/>
    <w:rsid w:val="003824D6"/>
    <w:rsid w:val="004E5379"/>
    <w:rsid w:val="00594075"/>
    <w:rsid w:val="006764A1"/>
    <w:rsid w:val="00C17548"/>
    <w:rsid w:val="00D02E85"/>
    <w:rsid w:val="00D30881"/>
    <w:rsid w:val="00DB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2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2E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2E85"/>
  </w:style>
  <w:style w:type="paragraph" w:styleId="a5">
    <w:name w:val="header"/>
    <w:basedOn w:val="a"/>
    <w:link w:val="Char0"/>
    <w:uiPriority w:val="99"/>
    <w:unhideWhenUsed/>
    <w:rsid w:val="00D0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02E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王荻</dc:creator>
  <cp:keywords/>
  <dc:description/>
  <cp:lastModifiedBy>ZHONGM</cp:lastModifiedBy>
  <cp:revision>2</cp:revision>
  <dcterms:created xsi:type="dcterms:W3CDTF">2023-12-21T16:00:00Z</dcterms:created>
  <dcterms:modified xsi:type="dcterms:W3CDTF">2023-12-21T16:00:00Z</dcterms:modified>
</cp:coreProperties>
</file>