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62" w:rsidRDefault="003910E1">
      <w:pPr>
        <w:jc w:val="center"/>
        <w:rPr>
          <w:sz w:val="30"/>
          <w:szCs w:val="30"/>
        </w:rPr>
      </w:pPr>
      <w:r>
        <w:rPr>
          <w:rFonts w:hint="eastAsia"/>
          <w:sz w:val="30"/>
          <w:szCs w:val="30"/>
        </w:rPr>
        <w:t>上海国泰君安证券资产管理有限公司关于旗下部分基金</w:t>
      </w:r>
    </w:p>
    <w:p w:rsidR="00641A62" w:rsidRDefault="003910E1">
      <w:pPr>
        <w:jc w:val="center"/>
        <w:rPr>
          <w:sz w:val="30"/>
          <w:szCs w:val="30"/>
        </w:rPr>
      </w:pPr>
      <w:r>
        <w:rPr>
          <w:rFonts w:hint="eastAsia"/>
          <w:sz w:val="30"/>
          <w:szCs w:val="30"/>
        </w:rPr>
        <w:t>调整销售对象并修改招募说明书</w:t>
      </w:r>
      <w:r>
        <w:rPr>
          <w:sz w:val="30"/>
          <w:szCs w:val="30"/>
        </w:rPr>
        <w:t>的公告</w:t>
      </w:r>
    </w:p>
    <w:p w:rsidR="00641A62" w:rsidRDefault="00641A62">
      <w:pPr>
        <w:jc w:val="center"/>
        <w:rPr>
          <w:sz w:val="30"/>
          <w:szCs w:val="30"/>
        </w:rPr>
      </w:pPr>
    </w:p>
    <w:p w:rsidR="00641A62" w:rsidRDefault="003910E1">
      <w:pPr>
        <w:autoSpaceDE/>
        <w:autoSpaceDN/>
        <w:spacing w:line="360" w:lineRule="auto"/>
        <w:ind w:firstLineChars="200" w:firstLine="480"/>
        <w:jc w:val="both"/>
        <w:rPr>
          <w:sz w:val="24"/>
          <w:szCs w:val="24"/>
        </w:rPr>
      </w:pPr>
      <w:r>
        <w:rPr>
          <w:rFonts w:hint="eastAsia"/>
          <w:sz w:val="24"/>
          <w:szCs w:val="24"/>
        </w:rPr>
        <w:t>为更好地满足广大投资者的需求，根据《中华人民共和国证券投资基金法》、《公开募集证券投资基金运作管理办法》等法律法规的规定和相关基金基金合同的约定，上海国泰君安证券资产管理有限公司（以下简称“本公司”或“基金管理人”）决定自</w:t>
      </w:r>
      <w:r>
        <w:rPr>
          <w:sz w:val="24"/>
          <w:szCs w:val="24"/>
        </w:rPr>
        <w:t>2023</w:t>
      </w:r>
      <w:r>
        <w:rPr>
          <w:sz w:val="24"/>
          <w:szCs w:val="24"/>
        </w:rPr>
        <w:t>年</w:t>
      </w:r>
      <w:r>
        <w:rPr>
          <w:sz w:val="24"/>
          <w:szCs w:val="24"/>
        </w:rPr>
        <w:t>1</w:t>
      </w:r>
      <w:r>
        <w:rPr>
          <w:rFonts w:hint="eastAsia"/>
          <w:sz w:val="24"/>
          <w:szCs w:val="24"/>
        </w:rPr>
        <w:t>2</w:t>
      </w:r>
      <w:r>
        <w:rPr>
          <w:sz w:val="24"/>
          <w:szCs w:val="24"/>
        </w:rPr>
        <w:t>月</w:t>
      </w:r>
      <w:r>
        <w:rPr>
          <w:rFonts w:hint="eastAsia"/>
          <w:sz w:val="24"/>
          <w:szCs w:val="24"/>
        </w:rPr>
        <w:t>21</w:t>
      </w:r>
      <w:r>
        <w:rPr>
          <w:sz w:val="24"/>
          <w:szCs w:val="24"/>
        </w:rPr>
        <w:t>日起调整</w:t>
      </w:r>
      <w:r>
        <w:rPr>
          <w:rFonts w:hint="eastAsia"/>
          <w:sz w:val="24"/>
          <w:szCs w:val="24"/>
        </w:rPr>
        <w:t>本公司旗下部分基金的销售对象，并相应修改招募说明书的相关内容，现将有关情况说明如下</w:t>
      </w:r>
      <w:r>
        <w:rPr>
          <w:sz w:val="24"/>
          <w:szCs w:val="24"/>
        </w:rPr>
        <w:t>：</w:t>
      </w:r>
    </w:p>
    <w:p w:rsidR="00641A62" w:rsidRDefault="00641A62">
      <w:pPr>
        <w:autoSpaceDE/>
        <w:autoSpaceDN/>
        <w:spacing w:line="360" w:lineRule="auto"/>
        <w:ind w:firstLineChars="200" w:firstLine="480"/>
        <w:jc w:val="both"/>
        <w:rPr>
          <w:sz w:val="24"/>
          <w:szCs w:val="24"/>
        </w:rPr>
      </w:pPr>
    </w:p>
    <w:p w:rsidR="00641A62" w:rsidRDefault="003910E1">
      <w:pPr>
        <w:autoSpaceDE/>
        <w:autoSpaceDN/>
        <w:spacing w:line="360" w:lineRule="auto"/>
        <w:ind w:firstLineChars="200" w:firstLine="480"/>
        <w:jc w:val="both"/>
        <w:rPr>
          <w:sz w:val="24"/>
          <w:szCs w:val="24"/>
        </w:rPr>
      </w:pPr>
      <w:r>
        <w:rPr>
          <w:rFonts w:hint="eastAsia"/>
          <w:sz w:val="24"/>
          <w:szCs w:val="24"/>
        </w:rPr>
        <w:t>一、适用基金范围</w:t>
      </w:r>
    </w:p>
    <w:p w:rsidR="00641A62" w:rsidRDefault="003910E1">
      <w:pPr>
        <w:autoSpaceDE/>
        <w:autoSpaceDN/>
        <w:spacing w:line="360" w:lineRule="auto"/>
        <w:ind w:firstLineChars="200" w:firstLine="480"/>
        <w:jc w:val="both"/>
        <w:rPr>
          <w:sz w:val="24"/>
          <w:szCs w:val="24"/>
        </w:rPr>
      </w:pPr>
      <w:r>
        <w:rPr>
          <w:rFonts w:hint="eastAsia"/>
          <w:sz w:val="24"/>
          <w:szCs w:val="24"/>
        </w:rPr>
        <w:t>此次调整销售对象的基金共</w:t>
      </w:r>
      <w:r>
        <w:rPr>
          <w:rFonts w:hint="eastAsia"/>
          <w:sz w:val="24"/>
          <w:szCs w:val="24"/>
        </w:rPr>
        <w:t>4</w:t>
      </w:r>
      <w:r>
        <w:rPr>
          <w:rFonts w:hint="eastAsia"/>
          <w:sz w:val="24"/>
          <w:szCs w:val="24"/>
        </w:rPr>
        <w:t>只，列表如下：</w:t>
      </w:r>
    </w:p>
    <w:tbl>
      <w:tblPr>
        <w:tblStyle w:val="ab"/>
        <w:tblW w:w="0" w:type="auto"/>
        <w:tblLook w:val="04A0"/>
      </w:tblPr>
      <w:tblGrid>
        <w:gridCol w:w="821"/>
        <w:gridCol w:w="7705"/>
      </w:tblGrid>
      <w:tr w:rsidR="00641A62">
        <w:tc>
          <w:tcPr>
            <w:tcW w:w="821" w:type="dxa"/>
            <w:vAlign w:val="center"/>
          </w:tcPr>
          <w:p w:rsidR="00641A62" w:rsidRDefault="003910E1">
            <w:pPr>
              <w:autoSpaceDE/>
              <w:autoSpaceDN/>
              <w:spacing w:line="360" w:lineRule="auto"/>
              <w:rPr>
                <w:sz w:val="24"/>
                <w:szCs w:val="24"/>
              </w:rPr>
            </w:pPr>
            <w:r>
              <w:rPr>
                <w:rFonts w:hint="eastAsia"/>
                <w:sz w:val="24"/>
                <w:szCs w:val="24"/>
              </w:rPr>
              <w:t>序号</w:t>
            </w:r>
          </w:p>
        </w:tc>
        <w:tc>
          <w:tcPr>
            <w:tcW w:w="7705" w:type="dxa"/>
            <w:vAlign w:val="center"/>
          </w:tcPr>
          <w:p w:rsidR="00641A62" w:rsidRDefault="003910E1">
            <w:pPr>
              <w:autoSpaceDE/>
              <w:autoSpaceDN/>
              <w:spacing w:line="360" w:lineRule="auto"/>
              <w:rPr>
                <w:sz w:val="24"/>
                <w:szCs w:val="24"/>
              </w:rPr>
            </w:pPr>
            <w:r>
              <w:rPr>
                <w:rFonts w:hint="eastAsia"/>
                <w:sz w:val="24"/>
                <w:szCs w:val="24"/>
              </w:rPr>
              <w:t>基金名称</w:t>
            </w:r>
          </w:p>
        </w:tc>
      </w:tr>
      <w:tr w:rsidR="00641A62">
        <w:tc>
          <w:tcPr>
            <w:tcW w:w="821" w:type="dxa"/>
            <w:vAlign w:val="center"/>
          </w:tcPr>
          <w:p w:rsidR="00641A62" w:rsidRDefault="003910E1">
            <w:pPr>
              <w:autoSpaceDE/>
              <w:autoSpaceDN/>
              <w:spacing w:line="360" w:lineRule="auto"/>
              <w:rPr>
                <w:sz w:val="24"/>
                <w:szCs w:val="24"/>
              </w:rPr>
            </w:pPr>
            <w:r>
              <w:rPr>
                <w:rFonts w:hint="eastAsia"/>
                <w:sz w:val="24"/>
                <w:szCs w:val="24"/>
              </w:rPr>
              <w:t>1</w:t>
            </w:r>
          </w:p>
        </w:tc>
        <w:tc>
          <w:tcPr>
            <w:tcW w:w="7705" w:type="dxa"/>
            <w:vAlign w:val="center"/>
          </w:tcPr>
          <w:p w:rsidR="00641A62" w:rsidRDefault="003910E1">
            <w:pPr>
              <w:autoSpaceDE/>
              <w:autoSpaceDN/>
              <w:spacing w:line="360" w:lineRule="auto"/>
              <w:rPr>
                <w:sz w:val="24"/>
                <w:szCs w:val="24"/>
              </w:rPr>
            </w:pPr>
            <w:r>
              <w:rPr>
                <w:rFonts w:hint="eastAsia"/>
                <w:sz w:val="24"/>
                <w:szCs w:val="24"/>
              </w:rPr>
              <w:t>国泰君安</w:t>
            </w:r>
            <w:r>
              <w:rPr>
                <w:rFonts w:hint="eastAsia"/>
                <w:sz w:val="24"/>
                <w:szCs w:val="24"/>
              </w:rPr>
              <w:t>30</w:t>
            </w:r>
            <w:r>
              <w:rPr>
                <w:rFonts w:hint="eastAsia"/>
                <w:sz w:val="24"/>
                <w:szCs w:val="24"/>
              </w:rPr>
              <w:t>天滚动持有中短债债券型证券投资基金</w:t>
            </w:r>
          </w:p>
        </w:tc>
      </w:tr>
      <w:tr w:rsidR="00641A62">
        <w:tc>
          <w:tcPr>
            <w:tcW w:w="821" w:type="dxa"/>
            <w:vAlign w:val="center"/>
          </w:tcPr>
          <w:p w:rsidR="00641A62" w:rsidRDefault="003910E1">
            <w:pPr>
              <w:autoSpaceDE/>
              <w:autoSpaceDN/>
              <w:spacing w:line="360" w:lineRule="auto"/>
              <w:rPr>
                <w:sz w:val="24"/>
                <w:szCs w:val="24"/>
              </w:rPr>
            </w:pPr>
            <w:r>
              <w:rPr>
                <w:rFonts w:hint="eastAsia"/>
                <w:sz w:val="24"/>
                <w:szCs w:val="24"/>
              </w:rPr>
              <w:t>2</w:t>
            </w:r>
          </w:p>
        </w:tc>
        <w:tc>
          <w:tcPr>
            <w:tcW w:w="7705" w:type="dxa"/>
            <w:vAlign w:val="center"/>
          </w:tcPr>
          <w:p w:rsidR="00641A62" w:rsidRDefault="003910E1">
            <w:pPr>
              <w:autoSpaceDE/>
              <w:autoSpaceDN/>
              <w:spacing w:line="360" w:lineRule="auto"/>
              <w:rPr>
                <w:sz w:val="24"/>
                <w:szCs w:val="24"/>
              </w:rPr>
            </w:pPr>
            <w:r>
              <w:rPr>
                <w:rFonts w:hint="eastAsia"/>
                <w:sz w:val="24"/>
                <w:szCs w:val="24"/>
              </w:rPr>
              <w:t>国泰君安</w:t>
            </w:r>
            <w:r>
              <w:rPr>
                <w:rFonts w:hint="eastAsia"/>
                <w:sz w:val="24"/>
                <w:szCs w:val="24"/>
              </w:rPr>
              <w:t>90</w:t>
            </w:r>
            <w:r>
              <w:rPr>
                <w:rFonts w:hint="eastAsia"/>
                <w:sz w:val="24"/>
                <w:szCs w:val="24"/>
              </w:rPr>
              <w:t>天滚动持有中短债债券型发起式证券投资基金</w:t>
            </w:r>
          </w:p>
        </w:tc>
      </w:tr>
      <w:tr w:rsidR="00641A62">
        <w:tc>
          <w:tcPr>
            <w:tcW w:w="821" w:type="dxa"/>
            <w:vAlign w:val="center"/>
          </w:tcPr>
          <w:p w:rsidR="00641A62" w:rsidRDefault="003910E1">
            <w:pPr>
              <w:autoSpaceDE/>
              <w:autoSpaceDN/>
              <w:spacing w:line="360" w:lineRule="auto"/>
              <w:rPr>
                <w:sz w:val="24"/>
                <w:szCs w:val="24"/>
              </w:rPr>
            </w:pPr>
            <w:r>
              <w:rPr>
                <w:rFonts w:hint="eastAsia"/>
                <w:sz w:val="24"/>
                <w:szCs w:val="24"/>
              </w:rPr>
              <w:t>3</w:t>
            </w:r>
          </w:p>
        </w:tc>
        <w:tc>
          <w:tcPr>
            <w:tcW w:w="7705" w:type="dxa"/>
            <w:vAlign w:val="center"/>
          </w:tcPr>
          <w:p w:rsidR="00641A62" w:rsidRDefault="003910E1">
            <w:pPr>
              <w:autoSpaceDE/>
              <w:autoSpaceDN/>
              <w:spacing w:line="360" w:lineRule="auto"/>
              <w:rPr>
                <w:sz w:val="24"/>
                <w:szCs w:val="24"/>
              </w:rPr>
            </w:pPr>
            <w:r>
              <w:rPr>
                <w:rFonts w:hint="eastAsia"/>
                <w:sz w:val="24"/>
                <w:szCs w:val="24"/>
              </w:rPr>
              <w:t>国泰君安君增利</w:t>
            </w:r>
            <w:r>
              <w:rPr>
                <w:rFonts w:hint="eastAsia"/>
                <w:sz w:val="24"/>
                <w:szCs w:val="24"/>
              </w:rPr>
              <w:t>60</w:t>
            </w:r>
            <w:r>
              <w:rPr>
                <w:rFonts w:hint="eastAsia"/>
                <w:sz w:val="24"/>
                <w:szCs w:val="24"/>
              </w:rPr>
              <w:t>天滚动持有债券型发起式证券投资基金</w:t>
            </w:r>
          </w:p>
        </w:tc>
      </w:tr>
      <w:tr w:rsidR="00641A62">
        <w:tc>
          <w:tcPr>
            <w:tcW w:w="821" w:type="dxa"/>
            <w:vAlign w:val="center"/>
          </w:tcPr>
          <w:p w:rsidR="00641A62" w:rsidRDefault="003910E1">
            <w:pPr>
              <w:autoSpaceDE/>
              <w:autoSpaceDN/>
              <w:spacing w:line="360" w:lineRule="auto"/>
              <w:rPr>
                <w:sz w:val="24"/>
                <w:szCs w:val="24"/>
              </w:rPr>
            </w:pPr>
            <w:r>
              <w:rPr>
                <w:rFonts w:hint="eastAsia"/>
                <w:sz w:val="24"/>
                <w:szCs w:val="24"/>
              </w:rPr>
              <w:t>4</w:t>
            </w:r>
          </w:p>
        </w:tc>
        <w:tc>
          <w:tcPr>
            <w:tcW w:w="7705" w:type="dxa"/>
            <w:vAlign w:val="center"/>
          </w:tcPr>
          <w:p w:rsidR="00641A62" w:rsidRDefault="003910E1">
            <w:pPr>
              <w:autoSpaceDE/>
              <w:autoSpaceDN/>
              <w:spacing w:line="360" w:lineRule="auto"/>
              <w:rPr>
                <w:sz w:val="24"/>
                <w:szCs w:val="24"/>
              </w:rPr>
            </w:pPr>
            <w:r>
              <w:rPr>
                <w:rFonts w:hint="eastAsia"/>
                <w:sz w:val="24"/>
                <w:szCs w:val="24"/>
              </w:rPr>
              <w:t>国泰君安君享利</w:t>
            </w:r>
            <w:r>
              <w:rPr>
                <w:rFonts w:hint="eastAsia"/>
                <w:sz w:val="24"/>
                <w:szCs w:val="24"/>
              </w:rPr>
              <w:t>30</w:t>
            </w:r>
            <w:r>
              <w:rPr>
                <w:rFonts w:hint="eastAsia"/>
                <w:sz w:val="24"/>
                <w:szCs w:val="24"/>
              </w:rPr>
              <w:t>天滚动持有债券型发起式证券投资基金</w:t>
            </w:r>
          </w:p>
        </w:tc>
      </w:tr>
    </w:tbl>
    <w:p w:rsidR="00641A62" w:rsidRDefault="00641A62">
      <w:pPr>
        <w:autoSpaceDE/>
        <w:autoSpaceDN/>
        <w:spacing w:line="360" w:lineRule="auto"/>
        <w:ind w:firstLineChars="200" w:firstLine="480"/>
        <w:jc w:val="both"/>
        <w:rPr>
          <w:sz w:val="24"/>
          <w:szCs w:val="24"/>
        </w:rPr>
      </w:pPr>
    </w:p>
    <w:p w:rsidR="00641A62" w:rsidRDefault="003910E1">
      <w:pPr>
        <w:autoSpaceDE/>
        <w:autoSpaceDN/>
        <w:spacing w:line="360" w:lineRule="auto"/>
        <w:ind w:firstLineChars="200" w:firstLine="480"/>
        <w:jc w:val="both"/>
        <w:rPr>
          <w:sz w:val="24"/>
          <w:szCs w:val="24"/>
        </w:rPr>
      </w:pPr>
      <w:r>
        <w:rPr>
          <w:rFonts w:hint="eastAsia"/>
          <w:sz w:val="24"/>
          <w:szCs w:val="24"/>
        </w:rPr>
        <w:t>二、修改内容要点</w:t>
      </w:r>
    </w:p>
    <w:p w:rsidR="00641A62" w:rsidRDefault="003910E1">
      <w:pPr>
        <w:autoSpaceDE/>
        <w:autoSpaceDN/>
        <w:spacing w:line="360" w:lineRule="auto"/>
        <w:ind w:firstLineChars="200" w:firstLine="480"/>
        <w:jc w:val="both"/>
        <w:rPr>
          <w:sz w:val="24"/>
          <w:szCs w:val="24"/>
        </w:rPr>
      </w:pPr>
      <w:r>
        <w:rPr>
          <w:rFonts w:hint="eastAsia"/>
          <w:sz w:val="24"/>
          <w:szCs w:val="24"/>
        </w:rPr>
        <w:t>上述基金的销售对象调整为：</w:t>
      </w:r>
    </w:p>
    <w:p w:rsidR="00641A62" w:rsidRDefault="003910E1">
      <w:pPr>
        <w:autoSpaceDE/>
        <w:autoSpaceDN/>
        <w:spacing w:line="360" w:lineRule="auto"/>
        <w:ind w:firstLineChars="200" w:firstLine="480"/>
        <w:jc w:val="both"/>
        <w:rPr>
          <w:sz w:val="24"/>
          <w:szCs w:val="24"/>
        </w:rPr>
      </w:pPr>
      <w:r>
        <w:rPr>
          <w:rFonts w:hint="eastAsia"/>
          <w:sz w:val="24"/>
          <w:szCs w:val="24"/>
        </w:rPr>
        <w:t>本基金暂不向金融机构自营账户销售（管理人以自有资金投资的情况除外），如未来本基金开放向金融机构自营账户公开销售或对销售对象的范围予以进一步限定，基金管理人将另行公告。</w:t>
      </w:r>
    </w:p>
    <w:p w:rsidR="00641A62" w:rsidRDefault="003910E1">
      <w:pPr>
        <w:autoSpaceDE/>
        <w:autoSpaceDN/>
        <w:spacing w:line="360" w:lineRule="auto"/>
        <w:ind w:firstLineChars="200" w:firstLine="480"/>
        <w:jc w:val="both"/>
        <w:rPr>
          <w:sz w:val="24"/>
          <w:szCs w:val="24"/>
        </w:rPr>
      </w:pPr>
      <w:r>
        <w:rPr>
          <w:rFonts w:hint="eastAsia"/>
          <w:sz w:val="24"/>
          <w:szCs w:val="24"/>
        </w:rPr>
        <w:t>本基金单一投资者单日申购</w:t>
      </w:r>
      <w:bookmarkStart w:id="0" w:name="_GoBack"/>
      <w:bookmarkEnd w:id="0"/>
      <w:r>
        <w:rPr>
          <w:rFonts w:hint="eastAsia"/>
          <w:sz w:val="24"/>
          <w:szCs w:val="24"/>
        </w:rPr>
        <w:t>金额不超过</w:t>
      </w:r>
      <w:r>
        <w:rPr>
          <w:rFonts w:hint="eastAsia"/>
          <w:sz w:val="24"/>
          <w:szCs w:val="24"/>
        </w:rPr>
        <w:t>1000</w:t>
      </w:r>
      <w:r>
        <w:rPr>
          <w:rFonts w:hint="eastAsia"/>
          <w:sz w:val="24"/>
          <w:szCs w:val="24"/>
        </w:rPr>
        <w:t>万元（个人投资者、公募资产管理产品、职业年金、企业年金计划、养老金产品及基金管理人以自有资金投资的情况除外）。基金管理人可以调整单一投资者单日申购金额上限，具体规定请参见更新的招募说明书或相关公告</w:t>
      </w:r>
      <w:r>
        <w:rPr>
          <w:sz w:val="24"/>
          <w:szCs w:val="24"/>
        </w:rPr>
        <w:t>。</w:t>
      </w:r>
    </w:p>
    <w:p w:rsidR="00641A62" w:rsidRDefault="00641A62">
      <w:pPr>
        <w:autoSpaceDE/>
        <w:autoSpaceDN/>
        <w:spacing w:line="360" w:lineRule="auto"/>
        <w:ind w:firstLineChars="200" w:firstLine="480"/>
        <w:jc w:val="both"/>
        <w:rPr>
          <w:sz w:val="24"/>
          <w:szCs w:val="24"/>
        </w:rPr>
      </w:pPr>
    </w:p>
    <w:p w:rsidR="00641A62" w:rsidRDefault="003910E1">
      <w:pPr>
        <w:autoSpaceDE/>
        <w:autoSpaceDN/>
        <w:spacing w:line="360" w:lineRule="auto"/>
        <w:ind w:firstLineChars="200" w:firstLine="480"/>
        <w:jc w:val="both"/>
        <w:rPr>
          <w:sz w:val="24"/>
          <w:szCs w:val="24"/>
        </w:rPr>
      </w:pPr>
      <w:r>
        <w:rPr>
          <w:rFonts w:hint="eastAsia"/>
          <w:sz w:val="24"/>
          <w:szCs w:val="24"/>
        </w:rPr>
        <w:t>三</w:t>
      </w:r>
      <w:r>
        <w:rPr>
          <w:sz w:val="24"/>
          <w:szCs w:val="24"/>
        </w:rPr>
        <w:t>、</w:t>
      </w:r>
      <w:r>
        <w:rPr>
          <w:rFonts w:hint="eastAsia"/>
          <w:sz w:val="24"/>
          <w:szCs w:val="24"/>
        </w:rPr>
        <w:t>重要提示</w:t>
      </w:r>
      <w:r>
        <w:rPr>
          <w:sz w:val="24"/>
          <w:szCs w:val="24"/>
        </w:rPr>
        <w:t xml:space="preserve"> </w:t>
      </w:r>
    </w:p>
    <w:p w:rsidR="00641A62" w:rsidRDefault="003910E1">
      <w:pPr>
        <w:autoSpaceDE/>
        <w:autoSpaceDN/>
        <w:spacing w:line="360" w:lineRule="auto"/>
        <w:ind w:firstLineChars="200" w:firstLine="480"/>
        <w:jc w:val="both"/>
        <w:rPr>
          <w:sz w:val="24"/>
          <w:szCs w:val="24"/>
        </w:rPr>
      </w:pPr>
      <w:r>
        <w:rPr>
          <w:sz w:val="24"/>
          <w:szCs w:val="24"/>
        </w:rPr>
        <w:t>1</w:t>
      </w:r>
      <w:r>
        <w:rPr>
          <w:sz w:val="24"/>
          <w:szCs w:val="24"/>
        </w:rPr>
        <w:t>、</w:t>
      </w:r>
      <w:r>
        <w:rPr>
          <w:rFonts w:hint="eastAsia"/>
          <w:sz w:val="24"/>
          <w:szCs w:val="24"/>
        </w:rPr>
        <w:t>上述基金</w:t>
      </w:r>
      <w:r>
        <w:rPr>
          <w:sz w:val="24"/>
          <w:szCs w:val="24"/>
        </w:rPr>
        <w:t>销售对象的调整，自</w:t>
      </w:r>
      <w:r>
        <w:rPr>
          <w:sz w:val="24"/>
          <w:szCs w:val="24"/>
        </w:rPr>
        <w:t>2023</w:t>
      </w:r>
      <w:r>
        <w:rPr>
          <w:sz w:val="24"/>
          <w:szCs w:val="24"/>
        </w:rPr>
        <w:t>年</w:t>
      </w:r>
      <w:r>
        <w:rPr>
          <w:sz w:val="24"/>
          <w:szCs w:val="24"/>
        </w:rPr>
        <w:t>1</w:t>
      </w:r>
      <w:r>
        <w:rPr>
          <w:rFonts w:hint="eastAsia"/>
          <w:sz w:val="24"/>
          <w:szCs w:val="24"/>
        </w:rPr>
        <w:t>2</w:t>
      </w:r>
      <w:r>
        <w:rPr>
          <w:sz w:val="24"/>
          <w:szCs w:val="24"/>
        </w:rPr>
        <w:t>月</w:t>
      </w:r>
      <w:r>
        <w:rPr>
          <w:rFonts w:hint="eastAsia"/>
          <w:sz w:val="24"/>
          <w:szCs w:val="24"/>
        </w:rPr>
        <w:t>21</w:t>
      </w:r>
      <w:r>
        <w:rPr>
          <w:sz w:val="24"/>
          <w:szCs w:val="24"/>
        </w:rPr>
        <w:t>日起生效。</w:t>
      </w:r>
      <w:r>
        <w:rPr>
          <w:rFonts w:hint="eastAsia"/>
          <w:sz w:val="24"/>
          <w:szCs w:val="24"/>
        </w:rPr>
        <w:t>上述</w:t>
      </w:r>
      <w:r>
        <w:rPr>
          <w:sz w:val="24"/>
          <w:szCs w:val="24"/>
        </w:rPr>
        <w:t>基金招募说明</w:t>
      </w:r>
      <w:r>
        <w:rPr>
          <w:rFonts w:hint="eastAsia"/>
          <w:sz w:val="24"/>
          <w:szCs w:val="24"/>
        </w:rPr>
        <w:t>书对应内容相应修改。</w:t>
      </w:r>
    </w:p>
    <w:p w:rsidR="00641A62" w:rsidRDefault="003910E1">
      <w:pPr>
        <w:autoSpaceDE/>
        <w:autoSpaceDN/>
        <w:spacing w:line="360" w:lineRule="auto"/>
        <w:ind w:firstLineChars="200" w:firstLine="480"/>
        <w:jc w:val="both"/>
        <w:rPr>
          <w:sz w:val="24"/>
          <w:szCs w:val="24"/>
        </w:rPr>
      </w:pPr>
      <w:r>
        <w:rPr>
          <w:rFonts w:hint="eastAsia"/>
          <w:sz w:val="24"/>
          <w:szCs w:val="24"/>
        </w:rPr>
        <w:lastRenderedPageBreak/>
        <w:t>2</w:t>
      </w:r>
      <w:r>
        <w:rPr>
          <w:rFonts w:hint="eastAsia"/>
          <w:sz w:val="24"/>
          <w:szCs w:val="24"/>
        </w:rPr>
        <w:t>、</w:t>
      </w:r>
      <w:r>
        <w:rPr>
          <w:sz w:val="24"/>
          <w:szCs w:val="24"/>
        </w:rPr>
        <w:t>本</w:t>
      </w:r>
      <w:r>
        <w:rPr>
          <w:rFonts w:hint="eastAsia"/>
          <w:sz w:val="24"/>
          <w:szCs w:val="24"/>
        </w:rPr>
        <w:t>次招募说明书的修改对基金份额持有人利益无实质性不利影响，无</w:t>
      </w:r>
      <w:r>
        <w:rPr>
          <w:sz w:val="24"/>
          <w:szCs w:val="24"/>
        </w:rPr>
        <w:t>需要召开基金份额持有人大会，且符合相关法律法规的规定和</w:t>
      </w:r>
      <w:r>
        <w:rPr>
          <w:rFonts w:hint="eastAsia"/>
          <w:sz w:val="24"/>
          <w:szCs w:val="24"/>
        </w:rPr>
        <w:t>相关基金基金合同</w:t>
      </w:r>
      <w:r>
        <w:rPr>
          <w:sz w:val="24"/>
          <w:szCs w:val="24"/>
        </w:rPr>
        <w:t>的约定。</w:t>
      </w:r>
      <w:r>
        <w:rPr>
          <w:sz w:val="24"/>
          <w:szCs w:val="24"/>
        </w:rPr>
        <w:t xml:space="preserve"> </w:t>
      </w:r>
    </w:p>
    <w:p w:rsidR="00641A62" w:rsidRDefault="003910E1">
      <w:pPr>
        <w:autoSpaceDE/>
        <w:autoSpaceDN/>
        <w:spacing w:line="360" w:lineRule="auto"/>
        <w:ind w:firstLineChars="200" w:firstLine="480"/>
        <w:rPr>
          <w:sz w:val="24"/>
          <w:szCs w:val="24"/>
        </w:rPr>
      </w:pPr>
      <w:r>
        <w:rPr>
          <w:rFonts w:hint="eastAsia"/>
          <w:sz w:val="24"/>
          <w:szCs w:val="24"/>
        </w:rPr>
        <w:t>3</w:t>
      </w:r>
      <w:r>
        <w:rPr>
          <w:sz w:val="24"/>
          <w:szCs w:val="24"/>
        </w:rPr>
        <w:t>、本公司将依照《公开募集证券投</w:t>
      </w:r>
      <w:r>
        <w:rPr>
          <w:sz w:val="24"/>
          <w:szCs w:val="24"/>
        </w:rPr>
        <w:t>资基金信息披露管理办法》的有关规定在规定媒介公告修订后的</w:t>
      </w:r>
      <w:r>
        <w:rPr>
          <w:rFonts w:hint="eastAsia"/>
          <w:sz w:val="24"/>
          <w:szCs w:val="24"/>
        </w:rPr>
        <w:t>上述</w:t>
      </w:r>
      <w:r>
        <w:rPr>
          <w:sz w:val="24"/>
          <w:szCs w:val="24"/>
        </w:rPr>
        <w:t>基金《招募说明书》。投资者可通过本公司网站（</w:t>
      </w:r>
      <w:r>
        <w:rPr>
          <w:sz w:val="24"/>
          <w:szCs w:val="24"/>
        </w:rPr>
        <w:t>www.gtjazg.com</w:t>
      </w:r>
      <w:r>
        <w:rPr>
          <w:sz w:val="24"/>
          <w:szCs w:val="24"/>
        </w:rPr>
        <w:t>）或中国证监会基金电子披露网站（</w:t>
      </w:r>
      <w:r>
        <w:rPr>
          <w:sz w:val="24"/>
          <w:szCs w:val="24"/>
        </w:rPr>
        <w:t>http://eid.csrc.gov.cn/fund</w:t>
      </w:r>
      <w:r>
        <w:rPr>
          <w:sz w:val="24"/>
          <w:szCs w:val="24"/>
        </w:rPr>
        <w:t>）查阅本基金修订后的法律文件。</w:t>
      </w:r>
    </w:p>
    <w:p w:rsidR="00641A62" w:rsidRDefault="003910E1">
      <w:pPr>
        <w:autoSpaceDE/>
        <w:autoSpaceDN/>
        <w:spacing w:line="360" w:lineRule="auto"/>
        <w:ind w:firstLineChars="200" w:firstLine="480"/>
        <w:jc w:val="both"/>
        <w:rPr>
          <w:sz w:val="24"/>
          <w:szCs w:val="24"/>
        </w:rPr>
      </w:pPr>
      <w:r>
        <w:rPr>
          <w:sz w:val="24"/>
          <w:szCs w:val="24"/>
        </w:rPr>
        <w:t>投资者可通过以下途径咨询有关详情</w:t>
      </w:r>
      <w:r>
        <w:rPr>
          <w:rFonts w:hint="eastAsia"/>
          <w:sz w:val="24"/>
          <w:szCs w:val="24"/>
        </w:rPr>
        <w:t>：</w:t>
      </w:r>
    </w:p>
    <w:p w:rsidR="00641A62" w:rsidRDefault="003910E1">
      <w:pPr>
        <w:autoSpaceDE/>
        <w:autoSpaceDN/>
        <w:spacing w:line="360" w:lineRule="auto"/>
        <w:ind w:firstLineChars="200" w:firstLine="480"/>
        <w:jc w:val="both"/>
        <w:rPr>
          <w:sz w:val="24"/>
          <w:szCs w:val="24"/>
        </w:rPr>
      </w:pPr>
      <w:r>
        <w:rPr>
          <w:rFonts w:hint="eastAsia"/>
          <w:sz w:val="24"/>
          <w:szCs w:val="24"/>
        </w:rPr>
        <w:t>客户服务电话：</w:t>
      </w:r>
      <w:r>
        <w:rPr>
          <w:sz w:val="24"/>
          <w:szCs w:val="24"/>
        </w:rPr>
        <w:t xml:space="preserve">95521  </w:t>
      </w:r>
      <w:r>
        <w:rPr>
          <w:sz w:val="24"/>
          <w:szCs w:val="24"/>
        </w:rPr>
        <w:t>网址：</w:t>
      </w:r>
      <w:r>
        <w:rPr>
          <w:sz w:val="24"/>
          <w:szCs w:val="24"/>
        </w:rPr>
        <w:t>www.gtjazg.com</w:t>
      </w:r>
    </w:p>
    <w:p w:rsidR="00641A62" w:rsidRDefault="00641A62">
      <w:pPr>
        <w:autoSpaceDE/>
        <w:autoSpaceDN/>
        <w:spacing w:line="360" w:lineRule="auto"/>
        <w:ind w:firstLineChars="200" w:firstLine="480"/>
        <w:jc w:val="both"/>
        <w:rPr>
          <w:sz w:val="24"/>
          <w:szCs w:val="24"/>
        </w:rPr>
      </w:pPr>
    </w:p>
    <w:p w:rsidR="00641A62" w:rsidRDefault="003910E1">
      <w:pPr>
        <w:autoSpaceDE/>
        <w:autoSpaceDN/>
        <w:spacing w:line="360" w:lineRule="auto"/>
        <w:ind w:firstLineChars="200" w:firstLine="480"/>
        <w:jc w:val="both"/>
        <w:rPr>
          <w:sz w:val="24"/>
          <w:szCs w:val="24"/>
        </w:rPr>
      </w:pPr>
      <w:r>
        <w:rPr>
          <w:rFonts w:hint="eastAsia"/>
          <w:sz w:val="24"/>
          <w:szCs w:val="24"/>
        </w:rPr>
        <w:t>四、风险提示</w:t>
      </w:r>
    </w:p>
    <w:p w:rsidR="00641A62" w:rsidRDefault="003910E1">
      <w:pPr>
        <w:autoSpaceDE/>
        <w:autoSpaceDN/>
        <w:spacing w:line="360" w:lineRule="auto"/>
        <w:ind w:firstLineChars="200" w:firstLine="480"/>
        <w:jc w:val="both"/>
        <w:rPr>
          <w:sz w:val="24"/>
          <w:szCs w:val="24"/>
        </w:rPr>
      </w:pPr>
      <w:r>
        <w:rPr>
          <w:rFonts w:hint="eastAsia"/>
          <w:sz w:val="24"/>
          <w:szCs w:val="24"/>
        </w:rPr>
        <w:t>基金管理人承诺以诚实信用、勤勉尽责的原则管理和运用基金财产，但不保证基金一定盈利，也不保证最低收益。投资者做出投资决策之</w:t>
      </w:r>
      <w:r>
        <w:rPr>
          <w:sz w:val="24"/>
          <w:szCs w:val="24"/>
        </w:rPr>
        <w:t>前，请仔细阅读基金合同、基金招募说明书和基金产品资料概要等产品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基金管理人提醒投资者基金投资的</w:t>
      </w:r>
      <w:r>
        <w:rPr>
          <w:sz w:val="24"/>
          <w:szCs w:val="24"/>
        </w:rPr>
        <w:t>“</w:t>
      </w:r>
      <w:r>
        <w:rPr>
          <w:sz w:val="24"/>
          <w:szCs w:val="24"/>
        </w:rPr>
        <w:t>买者自负</w:t>
      </w:r>
      <w:r>
        <w:rPr>
          <w:sz w:val="24"/>
          <w:szCs w:val="24"/>
        </w:rPr>
        <w:t>”</w:t>
      </w:r>
      <w:r>
        <w:rPr>
          <w:sz w:val="24"/>
          <w:szCs w:val="24"/>
        </w:rPr>
        <w:t>原则，在做出投资决策后，基金运营状况与基金</w:t>
      </w:r>
      <w:r>
        <w:rPr>
          <w:rFonts w:hint="eastAsia"/>
          <w:sz w:val="24"/>
          <w:szCs w:val="24"/>
        </w:rPr>
        <w:t>净值变化引致的投资风险，由投资者自行负担。基金管理人、基金托管人、基金销售机构及相关机构不对基金投资收益做出任何承诺或保证。</w:t>
      </w:r>
    </w:p>
    <w:p w:rsidR="00641A62" w:rsidRDefault="003910E1">
      <w:pPr>
        <w:autoSpaceDE/>
        <w:autoSpaceDN/>
        <w:spacing w:line="360" w:lineRule="auto"/>
        <w:ind w:firstLineChars="200" w:firstLine="480"/>
        <w:jc w:val="both"/>
        <w:rPr>
          <w:sz w:val="24"/>
          <w:szCs w:val="24"/>
        </w:rPr>
      </w:pPr>
      <w:r>
        <w:rPr>
          <w:rFonts w:hint="eastAsia"/>
          <w:sz w:val="24"/>
          <w:szCs w:val="24"/>
        </w:rPr>
        <w:t>投资者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641A62" w:rsidRDefault="003910E1">
      <w:pPr>
        <w:autoSpaceDE/>
        <w:autoSpaceDN/>
        <w:spacing w:line="360" w:lineRule="auto"/>
        <w:ind w:firstLineChars="200" w:firstLine="480"/>
        <w:jc w:val="both"/>
        <w:rPr>
          <w:sz w:val="24"/>
          <w:szCs w:val="24"/>
        </w:rPr>
      </w:pPr>
      <w:r>
        <w:rPr>
          <w:rFonts w:hint="eastAsia"/>
          <w:sz w:val="24"/>
          <w:szCs w:val="24"/>
        </w:rPr>
        <w:t>特此公告。</w:t>
      </w:r>
    </w:p>
    <w:p w:rsidR="00641A62" w:rsidRDefault="00641A62">
      <w:pPr>
        <w:autoSpaceDE/>
        <w:autoSpaceDN/>
        <w:spacing w:line="360" w:lineRule="auto"/>
        <w:ind w:firstLineChars="200" w:firstLine="480"/>
        <w:jc w:val="both"/>
        <w:rPr>
          <w:sz w:val="24"/>
          <w:szCs w:val="24"/>
        </w:rPr>
      </w:pPr>
    </w:p>
    <w:p w:rsidR="00641A62" w:rsidRDefault="00641A62">
      <w:pPr>
        <w:autoSpaceDE/>
        <w:autoSpaceDN/>
        <w:spacing w:line="360" w:lineRule="auto"/>
        <w:ind w:firstLineChars="200" w:firstLine="480"/>
        <w:jc w:val="both"/>
        <w:rPr>
          <w:sz w:val="24"/>
          <w:szCs w:val="24"/>
        </w:rPr>
      </w:pPr>
    </w:p>
    <w:p w:rsidR="00641A62" w:rsidRDefault="003910E1">
      <w:pPr>
        <w:autoSpaceDE/>
        <w:autoSpaceDN/>
        <w:spacing w:line="360" w:lineRule="auto"/>
        <w:ind w:firstLineChars="200" w:firstLine="480"/>
        <w:jc w:val="right"/>
        <w:rPr>
          <w:sz w:val="24"/>
          <w:szCs w:val="24"/>
        </w:rPr>
      </w:pPr>
      <w:r>
        <w:rPr>
          <w:rFonts w:hint="eastAsia"/>
          <w:sz w:val="24"/>
          <w:szCs w:val="24"/>
        </w:rPr>
        <w:t>上海国泰君安证券资产管理有限公司</w:t>
      </w:r>
    </w:p>
    <w:p w:rsidR="00641A62" w:rsidRDefault="003910E1">
      <w:pPr>
        <w:autoSpaceDE/>
        <w:autoSpaceDN/>
        <w:spacing w:line="360" w:lineRule="auto"/>
        <w:ind w:firstLineChars="200" w:firstLine="480"/>
        <w:jc w:val="right"/>
        <w:rPr>
          <w:sz w:val="24"/>
          <w:szCs w:val="24"/>
        </w:rPr>
      </w:pPr>
      <w:r>
        <w:rPr>
          <w:sz w:val="24"/>
          <w:szCs w:val="24"/>
        </w:rPr>
        <w:t>2023</w:t>
      </w:r>
      <w:r>
        <w:rPr>
          <w:sz w:val="24"/>
          <w:szCs w:val="24"/>
        </w:rPr>
        <w:t>年</w:t>
      </w:r>
      <w:r>
        <w:rPr>
          <w:sz w:val="24"/>
          <w:szCs w:val="24"/>
        </w:rPr>
        <w:t>1</w:t>
      </w:r>
      <w:r>
        <w:rPr>
          <w:rFonts w:hint="eastAsia"/>
          <w:sz w:val="24"/>
          <w:szCs w:val="24"/>
        </w:rPr>
        <w:t>2</w:t>
      </w:r>
      <w:r>
        <w:rPr>
          <w:sz w:val="24"/>
          <w:szCs w:val="24"/>
        </w:rPr>
        <w:t>月</w:t>
      </w:r>
      <w:r>
        <w:rPr>
          <w:rFonts w:hint="eastAsia"/>
          <w:sz w:val="24"/>
          <w:szCs w:val="24"/>
        </w:rPr>
        <w:t>21</w:t>
      </w:r>
      <w:r>
        <w:rPr>
          <w:sz w:val="24"/>
          <w:szCs w:val="24"/>
        </w:rPr>
        <w:t>日</w:t>
      </w:r>
    </w:p>
    <w:sectPr w:rsidR="00641A62" w:rsidSect="00641A62">
      <w:headerReference w:type="even" r:id="rId6"/>
      <w:headerReference w:type="default" r:id="rId7"/>
      <w:headerReference w:type="first" r:id="rId8"/>
      <w:type w:val="continuous"/>
      <w:pgSz w:w="11910" w:h="16840"/>
      <w:pgMar w:top="1440" w:right="1800" w:bottom="1440" w:left="180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A62" w:rsidRDefault="00641A62" w:rsidP="00641A62">
      <w:r>
        <w:separator/>
      </w:r>
    </w:p>
  </w:endnote>
  <w:endnote w:type="continuationSeparator" w:id="0">
    <w:p w:rsidR="00641A62" w:rsidRDefault="00641A62" w:rsidP="00641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A62" w:rsidRDefault="00641A62" w:rsidP="00641A62">
      <w:r>
        <w:separator/>
      </w:r>
    </w:p>
  </w:footnote>
  <w:footnote w:type="continuationSeparator" w:id="0">
    <w:p w:rsidR="00641A62" w:rsidRDefault="00641A62" w:rsidP="00641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62" w:rsidRDefault="00641A6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223.5pt;height:315.75pt;z-index:251660288;mso-position-horizontal:center;mso-position-horizontal-relative:page;mso-position-vertical:center;mso-position-vertical-relative:page">
          <v:imagedata r:id="rId1" o:title=""/>
          <o:lock v:ext="edit" aspectratio="f"/>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62" w:rsidRDefault="00641A6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223.5pt;height:315.75pt;z-index:251658240;mso-position-horizontal:center;mso-position-horizontal-relative:page;mso-position-vertical:center;mso-position-vertical-relative:page">
          <v:imagedata r:id="rId1" o:title=""/>
          <o:lock v:ext="edit" aspectratio="f"/>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62" w:rsidRDefault="00641A6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223.5pt;height:315.75pt;z-index:251659264;mso-position-horizontal:center;mso-position-horizontal-relative:page;mso-position-vertical:center;mso-position-vertical-relative:page">
          <v:imagedata r:id="rId1" o:title=""/>
          <o:lock v:ext="edit" aspectratio="f"/>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720"/>
  <w:drawingGridHorizontalSpacing w:val="11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lTrailSpace/>
    <w:doNotExpandShiftReturn/>
    <w:useFELayout/>
  </w:compat>
  <w:rsids>
    <w:rsidRoot w:val="00641A62"/>
    <w:rsid w:val="003910E1"/>
    <w:rsid w:val="00641A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62"/>
    <w:pPr>
      <w:widowControl w:val="0"/>
      <w:autoSpaceDE w:val="0"/>
      <w:autoSpaceDN w:val="0"/>
    </w:pPr>
    <w:rPr>
      <w:rFonts w:ascii="宋体" w:hAnsi="宋体" w:cs="宋体"/>
      <w:sz w:val="22"/>
      <w:szCs w:val="22"/>
    </w:rPr>
  </w:style>
  <w:style w:type="paragraph" w:styleId="5">
    <w:name w:val="heading 5"/>
    <w:basedOn w:val="a"/>
    <w:next w:val="a"/>
    <w:uiPriority w:val="9"/>
    <w:semiHidden/>
    <w:unhideWhenUsed/>
    <w:qFormat/>
    <w:rsid w:val="00641A62"/>
    <w:pPr>
      <w:spacing w:beforeAutospacing="1" w:afterAutospacing="1"/>
      <w:outlineLvl w:val="4"/>
    </w:pPr>
    <w:rPr>
      <w:rFonts w:cs="Times New Roman" w:hint="eastAsi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41A62"/>
  </w:style>
  <w:style w:type="paragraph" w:styleId="a4">
    <w:name w:val="Body Text"/>
    <w:basedOn w:val="a"/>
    <w:uiPriority w:val="1"/>
    <w:qFormat/>
    <w:rsid w:val="00641A62"/>
    <w:pPr>
      <w:spacing w:before="2"/>
      <w:ind w:left="1000"/>
    </w:pPr>
    <w:rPr>
      <w:sz w:val="24"/>
      <w:szCs w:val="24"/>
    </w:rPr>
  </w:style>
  <w:style w:type="paragraph" w:styleId="a5">
    <w:name w:val="Balloon Text"/>
    <w:basedOn w:val="a"/>
    <w:link w:val="Char0"/>
    <w:uiPriority w:val="99"/>
    <w:semiHidden/>
    <w:unhideWhenUsed/>
    <w:qFormat/>
    <w:rsid w:val="00641A62"/>
    <w:rPr>
      <w:sz w:val="18"/>
      <w:szCs w:val="18"/>
    </w:rPr>
  </w:style>
  <w:style w:type="paragraph" w:styleId="a6">
    <w:name w:val="footer"/>
    <w:basedOn w:val="a"/>
    <w:link w:val="Char1"/>
    <w:uiPriority w:val="99"/>
    <w:unhideWhenUsed/>
    <w:qFormat/>
    <w:rsid w:val="00641A62"/>
    <w:pPr>
      <w:tabs>
        <w:tab w:val="center" w:pos="4153"/>
        <w:tab w:val="right" w:pos="8306"/>
      </w:tabs>
      <w:snapToGrid w:val="0"/>
    </w:pPr>
    <w:rPr>
      <w:sz w:val="18"/>
      <w:szCs w:val="18"/>
    </w:rPr>
  </w:style>
  <w:style w:type="paragraph" w:styleId="a7">
    <w:name w:val="header"/>
    <w:basedOn w:val="a"/>
    <w:link w:val="Char2"/>
    <w:uiPriority w:val="99"/>
    <w:unhideWhenUsed/>
    <w:qFormat/>
    <w:rsid w:val="00641A6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sid w:val="00641A62"/>
    <w:pPr>
      <w:spacing w:beforeAutospacing="1" w:afterAutospacing="1"/>
    </w:pPr>
    <w:rPr>
      <w:rFonts w:cs="Times New Roman"/>
      <w:sz w:val="24"/>
    </w:rPr>
  </w:style>
  <w:style w:type="paragraph" w:styleId="a9">
    <w:name w:val="Title"/>
    <w:basedOn w:val="a"/>
    <w:uiPriority w:val="10"/>
    <w:qFormat/>
    <w:rsid w:val="00641A62"/>
    <w:pPr>
      <w:spacing w:before="30"/>
      <w:ind w:left="2717" w:right="606" w:hanging="2111"/>
    </w:pPr>
    <w:rPr>
      <w:sz w:val="30"/>
      <w:szCs w:val="30"/>
    </w:rPr>
  </w:style>
  <w:style w:type="paragraph" w:styleId="aa">
    <w:name w:val="annotation subject"/>
    <w:basedOn w:val="a3"/>
    <w:next w:val="a3"/>
    <w:link w:val="Char3"/>
    <w:uiPriority w:val="99"/>
    <w:semiHidden/>
    <w:unhideWhenUsed/>
    <w:qFormat/>
    <w:rsid w:val="00641A62"/>
    <w:rPr>
      <w:b/>
      <w:bCs/>
    </w:rPr>
  </w:style>
  <w:style w:type="table" w:styleId="ab">
    <w:name w:val="Table Grid"/>
    <w:basedOn w:val="a1"/>
    <w:uiPriority w:val="39"/>
    <w:qFormat/>
    <w:rsid w:val="00641A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qFormat/>
    <w:rsid w:val="00641A62"/>
    <w:rPr>
      <w:color w:val="800080" w:themeColor="followedHyperlink"/>
      <w:u w:val="single"/>
    </w:rPr>
  </w:style>
  <w:style w:type="character" w:styleId="ad">
    <w:name w:val="Hyperlink"/>
    <w:basedOn w:val="a0"/>
    <w:uiPriority w:val="99"/>
    <w:unhideWhenUsed/>
    <w:qFormat/>
    <w:rsid w:val="00641A62"/>
    <w:rPr>
      <w:color w:val="0000FF" w:themeColor="hyperlink"/>
      <w:u w:val="single"/>
    </w:rPr>
  </w:style>
  <w:style w:type="character" w:styleId="ae">
    <w:name w:val="annotation reference"/>
    <w:basedOn w:val="a0"/>
    <w:uiPriority w:val="99"/>
    <w:semiHidden/>
    <w:unhideWhenUsed/>
    <w:qFormat/>
    <w:rsid w:val="00641A62"/>
    <w:rPr>
      <w:sz w:val="21"/>
      <w:szCs w:val="21"/>
    </w:rPr>
  </w:style>
  <w:style w:type="table" w:customStyle="1" w:styleId="TableNormal0">
    <w:name w:val="Table Normal_0"/>
    <w:uiPriority w:val="2"/>
    <w:semiHidden/>
    <w:unhideWhenUsed/>
    <w:qFormat/>
    <w:rsid w:val="00641A62"/>
    <w:tblPr>
      <w:tblCellMar>
        <w:top w:w="0" w:type="dxa"/>
        <w:left w:w="0" w:type="dxa"/>
        <w:bottom w:w="0" w:type="dxa"/>
        <w:right w:w="0" w:type="dxa"/>
      </w:tblCellMar>
    </w:tblPr>
  </w:style>
  <w:style w:type="paragraph" w:styleId="af">
    <w:name w:val="List Paragraph"/>
    <w:basedOn w:val="a"/>
    <w:uiPriority w:val="1"/>
    <w:qFormat/>
    <w:rsid w:val="00641A62"/>
    <w:pPr>
      <w:spacing w:before="67"/>
      <w:ind w:left="763" w:hanging="244"/>
    </w:pPr>
  </w:style>
  <w:style w:type="paragraph" w:customStyle="1" w:styleId="TableParagraph">
    <w:name w:val="Table Paragraph"/>
    <w:basedOn w:val="a"/>
    <w:uiPriority w:val="1"/>
    <w:qFormat/>
    <w:rsid w:val="00641A62"/>
    <w:pPr>
      <w:spacing w:line="292" w:lineRule="exact"/>
      <w:ind w:left="107"/>
    </w:pPr>
  </w:style>
  <w:style w:type="character" w:customStyle="1" w:styleId="Char2">
    <w:name w:val="页眉 Char"/>
    <w:basedOn w:val="a0"/>
    <w:link w:val="a7"/>
    <w:uiPriority w:val="99"/>
    <w:qFormat/>
    <w:rsid w:val="00641A62"/>
    <w:rPr>
      <w:rFonts w:ascii="宋体" w:eastAsia="宋体" w:hAnsi="宋体" w:cs="宋体"/>
      <w:sz w:val="18"/>
      <w:szCs w:val="18"/>
      <w:lang w:eastAsia="zh-CN"/>
    </w:rPr>
  </w:style>
  <w:style w:type="character" w:customStyle="1" w:styleId="Char1">
    <w:name w:val="页脚 Char"/>
    <w:basedOn w:val="a0"/>
    <w:link w:val="a6"/>
    <w:uiPriority w:val="99"/>
    <w:qFormat/>
    <w:rsid w:val="00641A62"/>
    <w:rPr>
      <w:rFonts w:ascii="宋体" w:eastAsia="宋体" w:hAnsi="宋体" w:cs="宋体"/>
      <w:sz w:val="18"/>
      <w:szCs w:val="18"/>
      <w:lang w:eastAsia="zh-CN"/>
    </w:rPr>
  </w:style>
  <w:style w:type="character" w:customStyle="1" w:styleId="1">
    <w:name w:val="未处理的提及1"/>
    <w:basedOn w:val="a0"/>
    <w:uiPriority w:val="99"/>
    <w:semiHidden/>
    <w:unhideWhenUsed/>
    <w:qFormat/>
    <w:rsid w:val="00641A62"/>
    <w:rPr>
      <w:color w:val="605E5C"/>
      <w:shd w:val="clear" w:color="auto" w:fill="E1DFDD"/>
    </w:rPr>
  </w:style>
  <w:style w:type="paragraph" w:customStyle="1" w:styleId="10">
    <w:name w:val="修订1"/>
    <w:hidden/>
    <w:uiPriority w:val="99"/>
    <w:semiHidden/>
    <w:qFormat/>
    <w:rsid w:val="00641A62"/>
    <w:rPr>
      <w:rFonts w:ascii="宋体" w:hAnsi="宋体" w:cs="宋体"/>
      <w:sz w:val="22"/>
      <w:szCs w:val="22"/>
    </w:rPr>
  </w:style>
  <w:style w:type="character" w:customStyle="1" w:styleId="Char0">
    <w:name w:val="批注框文本 Char"/>
    <w:basedOn w:val="a0"/>
    <w:link w:val="a5"/>
    <w:uiPriority w:val="99"/>
    <w:semiHidden/>
    <w:qFormat/>
    <w:rsid w:val="00641A62"/>
    <w:rPr>
      <w:rFonts w:ascii="宋体" w:eastAsia="宋体" w:hAnsi="宋体" w:cs="宋体"/>
      <w:sz w:val="18"/>
      <w:szCs w:val="18"/>
      <w:lang w:eastAsia="zh-CN"/>
    </w:rPr>
  </w:style>
  <w:style w:type="character" w:customStyle="1" w:styleId="Char">
    <w:name w:val="批注文字 Char"/>
    <w:basedOn w:val="a0"/>
    <w:link w:val="a3"/>
    <w:uiPriority w:val="99"/>
    <w:semiHidden/>
    <w:qFormat/>
    <w:rsid w:val="00641A62"/>
    <w:rPr>
      <w:rFonts w:ascii="宋体" w:eastAsia="宋体" w:hAnsi="宋体" w:cs="宋体"/>
      <w:lang w:eastAsia="zh-CN"/>
    </w:rPr>
  </w:style>
  <w:style w:type="character" w:customStyle="1" w:styleId="Char3">
    <w:name w:val="批注主题 Char"/>
    <w:basedOn w:val="Char"/>
    <w:link w:val="aa"/>
    <w:uiPriority w:val="99"/>
    <w:semiHidden/>
    <w:qFormat/>
    <w:rsid w:val="00641A62"/>
    <w:rPr>
      <w:rFonts w:ascii="宋体" w:eastAsia="宋体" w:hAnsi="宋体" w:cs="宋体"/>
      <w:b/>
      <w:bCs/>
      <w:lang w:eastAsia="zh-CN"/>
    </w:rPr>
  </w:style>
  <w:style w:type="paragraph" w:customStyle="1" w:styleId="2">
    <w:name w:val="修订2"/>
    <w:hidden/>
    <w:uiPriority w:val="99"/>
    <w:unhideWhenUsed/>
    <w:qFormat/>
    <w:rsid w:val="00641A62"/>
    <w:rPr>
      <w:rFonts w:ascii="宋体" w:hAnsi="宋体" w:cs="宋体"/>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1184</Characters>
  <Application>Microsoft Office Word</Application>
  <DocSecurity>4</DocSecurity>
  <Lines>9</Lines>
  <Paragraphs>2</Paragraphs>
  <ScaleCrop>false</ScaleCrop>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2023-12-20T16:01:00Z</dcterms:created>
  <dcterms:modified xsi:type="dcterms:W3CDTF">2023-12-20T16:01:00Z</dcterms:modified>
  <cp:contentStatus>国泰君安证券股份有限公司*国泰君安证券资产管理公司：《上海国泰君安证券资产管理有限公司关于旗下部分基金调整销售对象并修改招募说明书的公告》《国泰君安善兴平衡养老目标三年持有期混合型发起式基金中基金（FOF）开放日常申购、赎回和定期定额投资业务的公告》2个信披公告，烦请于明天（2023年12月21日）发布，谢谢*zhanghaowen024861@gtjas.com*lkl@ssnews.com.cn * *chengang023613@gtjas.com,xukai019937@gtjas.com,liyan026022@gtjas.com *2023-12-20 16:26:52;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Microsoft® Word 2013</vt:lpwstr>
  </property>
  <property fmtid="{D5CDD505-2E9C-101B-9397-08002B2CF9AE}" pid="4" name="ICV">
    <vt:lpwstr>31E3DFC75CA74BBBA945126025210E2C</vt:lpwstr>
  </property>
  <property fmtid="{D5CDD505-2E9C-101B-9397-08002B2CF9AE}" pid="5" name="KSOProductBuildVer">
    <vt:lpwstr>2052-11.8.2.12085</vt:lpwstr>
  </property>
  <property fmtid="{D5CDD505-2E9C-101B-9397-08002B2CF9AE}" pid="6" name="LastSaved">
    <vt:filetime>2021-08-25T00:00:00Z</vt:filetime>
  </property>
</Properties>
</file>