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CF" w:rsidRDefault="000D596E">
      <w:pPr>
        <w:widowControl/>
        <w:spacing w:line="360" w:lineRule="auto"/>
        <w:jc w:val="center"/>
        <w:rPr>
          <w:rFonts w:ascii="宋体" w:hAnsi="Calibri" w:cs="宋体"/>
          <w:b/>
          <w:sz w:val="30"/>
          <w:szCs w:val="30"/>
        </w:rPr>
      </w:pPr>
      <w:r>
        <w:rPr>
          <w:rFonts w:ascii="宋体" w:hAnsi="Calibri" w:cs="宋体" w:hint="eastAsia"/>
          <w:b/>
          <w:sz w:val="30"/>
          <w:szCs w:val="30"/>
        </w:rPr>
        <w:t>华泰紫金智盈债券型证券投资基金分红公告</w:t>
      </w:r>
    </w:p>
    <w:p w:rsidR="001E4ECF" w:rsidRDefault="000D596E">
      <w:pPr>
        <w:spacing w:line="360" w:lineRule="auto"/>
        <w:jc w:val="center"/>
        <w:rPr>
          <w:rFonts w:ascii="宋体" w:hAnsi="Calibri"/>
          <w:color w:val="000000"/>
          <w:sz w:val="24"/>
          <w:szCs w:val="24"/>
        </w:rPr>
      </w:pPr>
      <w:r>
        <w:rPr>
          <w:rFonts w:ascii="宋体" w:hAnsi="Calibri"/>
          <w:color w:val="000000"/>
          <w:sz w:val="24"/>
          <w:szCs w:val="24"/>
        </w:rPr>
        <w:t>公告送出日期：</w:t>
      </w:r>
      <w:r>
        <w:rPr>
          <w:rFonts w:ascii="宋体" w:hAnsi="Calibri" w:cs="宋体"/>
          <w:bCs/>
          <w:sz w:val="24"/>
          <w:szCs w:val="24"/>
        </w:rPr>
        <w:t>2023</w:t>
      </w:r>
      <w:r>
        <w:rPr>
          <w:rFonts w:ascii="宋体" w:hAnsi="Calibri" w:cs="宋体"/>
          <w:bCs/>
          <w:sz w:val="24"/>
          <w:szCs w:val="24"/>
        </w:rPr>
        <w:t>年</w:t>
      </w:r>
      <w:r>
        <w:rPr>
          <w:rFonts w:ascii="宋体" w:hAnsi="Calibri" w:cs="宋体" w:hint="eastAsia"/>
          <w:bCs/>
          <w:sz w:val="24"/>
          <w:szCs w:val="24"/>
        </w:rPr>
        <w:t>12</w:t>
      </w:r>
      <w:r>
        <w:rPr>
          <w:rFonts w:ascii="宋体" w:hAnsi="Calibri" w:cs="宋体"/>
          <w:bCs/>
          <w:sz w:val="24"/>
          <w:szCs w:val="24"/>
        </w:rPr>
        <w:t>月</w:t>
      </w:r>
      <w:r>
        <w:rPr>
          <w:rFonts w:ascii="宋体" w:hAnsi="Calibri" w:cs="宋体" w:hint="eastAsia"/>
          <w:bCs/>
          <w:sz w:val="24"/>
          <w:szCs w:val="24"/>
        </w:rPr>
        <w:t>21</w:t>
      </w:r>
      <w:r>
        <w:rPr>
          <w:rFonts w:ascii="宋体" w:hAnsi="Calibri" w:cs="宋体"/>
          <w:bCs/>
          <w:sz w:val="24"/>
          <w:szCs w:val="24"/>
        </w:rPr>
        <w:t>日</w:t>
      </w:r>
    </w:p>
    <w:p w:rsidR="001E4ECF" w:rsidRDefault="001E4ECF">
      <w:pPr>
        <w:spacing w:line="360" w:lineRule="auto"/>
        <w:jc w:val="center"/>
        <w:rPr>
          <w:rFonts w:ascii="宋体" w:hAnsi="Calibri"/>
          <w:color w:val="000000"/>
          <w:sz w:val="24"/>
          <w:szCs w:val="24"/>
        </w:rPr>
      </w:pPr>
    </w:p>
    <w:p w:rsidR="001E4ECF" w:rsidRDefault="000D596E">
      <w:pPr>
        <w:pStyle w:val="Heading2"/>
        <w:spacing w:line="360" w:lineRule="auto"/>
        <w:rPr>
          <w:rFonts w:ascii="宋体" w:eastAsia="宋体" w:hAnsi="Calibri"/>
          <w:bCs w:val="0"/>
          <w:color w:val="000000"/>
          <w:sz w:val="24"/>
          <w:szCs w:val="24"/>
        </w:rPr>
      </w:pPr>
      <w:bookmarkStart w:id="0" w:name="_Toc275961418"/>
      <w:r>
        <w:rPr>
          <w:rFonts w:ascii="宋体" w:eastAsia="宋体" w:hAnsi="Calibri"/>
          <w:bCs w:val="0"/>
          <w:color w:val="000000"/>
          <w:sz w:val="24"/>
          <w:szCs w:val="24"/>
        </w:rPr>
        <w:t xml:space="preserve">1 </w:t>
      </w:r>
      <w:r>
        <w:rPr>
          <w:rFonts w:ascii="宋体" w:eastAsia="宋体" w:hAnsi="Calibri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2552"/>
        <w:gridCol w:w="2268"/>
        <w:gridCol w:w="2451"/>
      </w:tblGrid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719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华泰紫金智盈债券型证券投资基金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719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华泰紫金智盈债券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719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005467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4719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2018</w:t>
            </w:r>
            <w:r>
              <w:rPr>
                <w:rFonts w:ascii="宋体" w:hAnsi="Calibri"/>
                <w:sz w:val="24"/>
                <w:szCs w:val="24"/>
              </w:rPr>
              <w:t>年</w:t>
            </w:r>
            <w:r>
              <w:rPr>
                <w:rFonts w:ascii="宋体" w:hAnsi="Calibri"/>
                <w:sz w:val="24"/>
                <w:szCs w:val="24"/>
              </w:rPr>
              <w:t>3</w:t>
            </w:r>
            <w:r>
              <w:rPr>
                <w:rFonts w:ascii="宋体" w:hAnsi="Calibri"/>
                <w:sz w:val="24"/>
                <w:szCs w:val="24"/>
              </w:rPr>
              <w:t>月</w:t>
            </w:r>
            <w:r>
              <w:rPr>
                <w:rFonts w:ascii="宋体" w:hAnsi="Calibri"/>
                <w:sz w:val="24"/>
                <w:szCs w:val="24"/>
              </w:rPr>
              <w:t>15</w:t>
            </w:r>
            <w:r>
              <w:rPr>
                <w:rFonts w:ascii="宋体" w:hAnsi="Calibri"/>
                <w:sz w:val="24"/>
                <w:szCs w:val="24"/>
              </w:rPr>
              <w:t>日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719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华泰证券（上海）资产管理有限公司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4719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中国建设银行股份有限公司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719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《中华人民共和国证券投资基金法》、《公开募集证券投资基金信息披露管理办法》、《华泰紫金智盈债券型证券投资基金基金合同》、《华泰紫金智盈债券型证券投资基金招募说明书》等相关文件。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4719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2023</w:t>
            </w:r>
            <w:r>
              <w:rPr>
                <w:rFonts w:ascii="宋体" w:hAnsi="Calibri"/>
                <w:sz w:val="24"/>
                <w:szCs w:val="24"/>
              </w:rPr>
              <w:t>年</w:t>
            </w:r>
            <w:r>
              <w:rPr>
                <w:rFonts w:ascii="宋体" w:hAnsi="Calibri" w:hint="eastAsia"/>
                <w:sz w:val="24"/>
                <w:szCs w:val="24"/>
              </w:rPr>
              <w:t>12</w:t>
            </w:r>
            <w:r>
              <w:rPr>
                <w:rFonts w:ascii="宋体" w:hAnsi="Calibri"/>
                <w:sz w:val="24"/>
                <w:szCs w:val="24"/>
              </w:rPr>
              <w:t>月</w:t>
            </w:r>
            <w:r>
              <w:rPr>
                <w:rFonts w:ascii="宋体" w:hAnsi="Calibri" w:hint="eastAsia"/>
                <w:sz w:val="24"/>
                <w:szCs w:val="24"/>
              </w:rPr>
              <w:t>18</w:t>
            </w:r>
            <w:r>
              <w:rPr>
                <w:rFonts w:ascii="宋体" w:hAnsi="Calibri"/>
                <w:sz w:val="24"/>
                <w:szCs w:val="24"/>
              </w:rPr>
              <w:t>日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4719" w:type="dxa"/>
            <w:gridSpan w:val="2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本次分红为</w:t>
            </w:r>
            <w:r>
              <w:rPr>
                <w:rFonts w:ascii="宋体" w:hAnsi="Calibri"/>
                <w:sz w:val="24"/>
                <w:szCs w:val="24"/>
              </w:rPr>
              <w:t>2023</w:t>
            </w:r>
            <w:r>
              <w:rPr>
                <w:rFonts w:ascii="宋体" w:hAnsi="Calibri"/>
                <w:sz w:val="24"/>
                <w:szCs w:val="24"/>
              </w:rPr>
              <w:t>年度的第</w:t>
            </w:r>
            <w:r>
              <w:rPr>
                <w:rFonts w:ascii="宋体" w:hAnsi="Calibri" w:hint="eastAsia"/>
                <w:sz w:val="24"/>
                <w:szCs w:val="24"/>
              </w:rPr>
              <w:t>4</w:t>
            </w:r>
            <w:r>
              <w:rPr>
                <w:rFonts w:ascii="宋体" w:hAnsi="Calibri"/>
                <w:sz w:val="24"/>
                <w:szCs w:val="24"/>
              </w:rPr>
              <w:t>次分红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华泰紫金智盈债券</w:t>
            </w:r>
            <w:r>
              <w:rPr>
                <w:rFonts w:ascii="宋体" w:hAnsi="Calibri"/>
                <w:sz w:val="24"/>
                <w:szCs w:val="24"/>
              </w:rPr>
              <w:t>A</w:t>
            </w:r>
          </w:p>
        </w:tc>
        <w:tc>
          <w:tcPr>
            <w:tcW w:w="2451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华泰紫金智盈债券</w:t>
            </w:r>
            <w:r>
              <w:rPr>
                <w:rFonts w:ascii="宋体" w:hAnsi="Calibri"/>
                <w:sz w:val="24"/>
                <w:szCs w:val="24"/>
              </w:rPr>
              <w:t>C</w:t>
            </w: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005467</w:t>
            </w:r>
          </w:p>
        </w:tc>
        <w:tc>
          <w:tcPr>
            <w:tcW w:w="2451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005468</w:t>
            </w:r>
          </w:p>
        </w:tc>
      </w:tr>
      <w:tr w:rsidR="001E4ECF">
        <w:trPr>
          <w:jc w:val="center"/>
        </w:trPr>
        <w:tc>
          <w:tcPr>
            <w:tcW w:w="2368" w:type="dxa"/>
            <w:vMerge w:val="restart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截止基准日下属分级基金的相关指标</w:t>
            </w:r>
          </w:p>
        </w:tc>
        <w:tc>
          <w:tcPr>
            <w:tcW w:w="2552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基准日下属分级基金份额净值</w:t>
            </w:r>
            <w:r>
              <w:rPr>
                <w:rFonts w:ascii="宋体" w:hAnsi="Calibri" w:hint="eastAsia"/>
                <w:sz w:val="24"/>
                <w:szCs w:val="24"/>
              </w:rPr>
              <w:t>（单位：</w:t>
            </w:r>
            <w:r>
              <w:rPr>
                <w:rFonts w:ascii="宋体" w:hAnsi="Calibri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宋体" w:hAnsi="Calibri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1.1</w:t>
            </w:r>
            <w:r>
              <w:rPr>
                <w:rFonts w:ascii="宋体" w:hAnsi="Calibri" w:hint="eastAsia"/>
                <w:sz w:val="24"/>
                <w:szCs w:val="24"/>
              </w:rPr>
              <w:t>450</w:t>
            </w:r>
          </w:p>
        </w:tc>
        <w:tc>
          <w:tcPr>
            <w:tcW w:w="2451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1.</w:t>
            </w:r>
            <w:r>
              <w:rPr>
                <w:rFonts w:ascii="宋体" w:hAnsi="Calibri" w:hint="eastAsia"/>
                <w:sz w:val="24"/>
                <w:szCs w:val="24"/>
              </w:rPr>
              <w:t>0995</w:t>
            </w:r>
          </w:p>
        </w:tc>
      </w:tr>
      <w:tr w:rsidR="001E4ECF">
        <w:trPr>
          <w:trHeight w:val="405"/>
          <w:jc w:val="center"/>
        </w:trPr>
        <w:tc>
          <w:tcPr>
            <w:tcW w:w="2368" w:type="dxa"/>
            <w:vMerge/>
          </w:tcPr>
          <w:p w:rsidR="001E4ECF" w:rsidRDefault="001E4ECF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基准日下属分级基金可供分配利润</w:t>
            </w:r>
            <w:r>
              <w:rPr>
                <w:rFonts w:ascii="宋体" w:hAnsi="Calibri" w:hint="eastAsia"/>
                <w:sz w:val="24"/>
                <w:szCs w:val="24"/>
              </w:rPr>
              <w:t>（单位：</w:t>
            </w:r>
            <w:r>
              <w:rPr>
                <w:rFonts w:ascii="宋体" w:hAnsi="Calibri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宋体" w:hAnsi="Calibri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 w:hint="eastAsia"/>
                <w:sz w:val="24"/>
                <w:szCs w:val="24"/>
              </w:rPr>
              <w:t>112,978,901.60</w:t>
            </w:r>
          </w:p>
          <w:p w:rsidR="001E4ECF" w:rsidRDefault="001E4ECF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2451" w:type="dxa"/>
          </w:tcPr>
          <w:p w:rsidR="001E4ECF" w:rsidRDefault="000D596E">
            <w:pPr>
              <w:widowControl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 w:hint="eastAsia"/>
                <w:sz w:val="24"/>
                <w:szCs w:val="24"/>
              </w:rPr>
              <w:t>933,063.54</w:t>
            </w:r>
          </w:p>
          <w:p w:rsidR="001E4ECF" w:rsidRDefault="001E4ECF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</w:p>
        </w:tc>
      </w:tr>
      <w:tr w:rsidR="001E4ECF">
        <w:trPr>
          <w:jc w:val="center"/>
        </w:trPr>
        <w:tc>
          <w:tcPr>
            <w:tcW w:w="4920" w:type="dxa"/>
            <w:gridSpan w:val="2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本次下属分级基金分红方案（单位：元</w:t>
            </w:r>
            <w:r>
              <w:rPr>
                <w:rFonts w:ascii="宋体" w:hAnsi="Calibri"/>
                <w:color w:val="000000"/>
                <w:sz w:val="24"/>
                <w:szCs w:val="24"/>
              </w:rPr>
              <w:t>/10</w:t>
            </w:r>
            <w:r>
              <w:rPr>
                <w:rFonts w:ascii="宋体" w:hAnsi="Calibri"/>
                <w:color w:val="000000"/>
                <w:sz w:val="24"/>
                <w:szCs w:val="24"/>
              </w:rPr>
              <w:t>份基金份额）</w:t>
            </w:r>
          </w:p>
        </w:tc>
        <w:tc>
          <w:tcPr>
            <w:tcW w:w="2268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 w:hint="eastAsia"/>
                <w:sz w:val="24"/>
                <w:szCs w:val="24"/>
              </w:rPr>
              <w:t>0.491</w:t>
            </w:r>
          </w:p>
        </w:tc>
        <w:tc>
          <w:tcPr>
            <w:tcW w:w="2451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 w:hint="eastAsia"/>
                <w:sz w:val="24"/>
                <w:szCs w:val="24"/>
              </w:rPr>
              <w:t>0.289</w:t>
            </w:r>
          </w:p>
        </w:tc>
      </w:tr>
    </w:tbl>
    <w:p w:rsidR="001E4ECF" w:rsidRDefault="001E4ECF">
      <w:pPr>
        <w:spacing w:line="360" w:lineRule="auto"/>
        <w:rPr>
          <w:rFonts w:ascii="宋体" w:hAnsi="Calibri"/>
          <w:sz w:val="24"/>
          <w:szCs w:val="24"/>
        </w:rPr>
      </w:pPr>
    </w:p>
    <w:p w:rsidR="001E4ECF" w:rsidRDefault="000D596E">
      <w:pPr>
        <w:spacing w:line="360" w:lineRule="auto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lastRenderedPageBreak/>
        <w:t>1</w:t>
      </w:r>
      <w:r>
        <w:rPr>
          <w:rFonts w:ascii="宋体" w:hAnsi="Calibri"/>
          <w:sz w:val="24"/>
          <w:szCs w:val="24"/>
        </w:rPr>
        <w:t>、本次分红符合基金合同的相关规定。</w:t>
      </w:r>
    </w:p>
    <w:p w:rsidR="001E4ECF" w:rsidRDefault="000D596E">
      <w:pPr>
        <w:spacing w:line="360" w:lineRule="auto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t>2</w:t>
      </w:r>
      <w:r>
        <w:rPr>
          <w:rFonts w:ascii="宋体" w:hAnsi="Calibri"/>
          <w:sz w:val="24"/>
          <w:szCs w:val="24"/>
        </w:rPr>
        <w:t>、由于本基金</w:t>
      </w:r>
      <w:r>
        <w:rPr>
          <w:rFonts w:ascii="宋体" w:hAnsi="Calibri"/>
          <w:sz w:val="24"/>
          <w:szCs w:val="24"/>
        </w:rPr>
        <w:t>A</w:t>
      </w:r>
      <w:r>
        <w:rPr>
          <w:rFonts w:ascii="宋体" w:hAnsi="Calibri"/>
          <w:sz w:val="24"/>
          <w:szCs w:val="24"/>
        </w:rPr>
        <w:t>类基金份额不收取销售服务费，</w:t>
      </w:r>
      <w:r>
        <w:rPr>
          <w:rFonts w:ascii="宋体" w:hAnsi="Calibri"/>
          <w:sz w:val="24"/>
          <w:szCs w:val="24"/>
        </w:rPr>
        <w:t>C</w:t>
      </w:r>
      <w:r>
        <w:rPr>
          <w:rFonts w:ascii="宋体" w:hAnsi="Calibri"/>
          <w:sz w:val="24"/>
          <w:szCs w:val="24"/>
        </w:rPr>
        <w:t>类基金份额收取销售服务费，两种基金份额类别对应的可供分配利润将有所不同，本基金同一类别的每份基金份额享有同等分配权。</w:t>
      </w:r>
    </w:p>
    <w:p w:rsidR="001E4ECF" w:rsidRDefault="000D596E">
      <w:pPr>
        <w:pStyle w:val="Heading2"/>
        <w:spacing w:line="360" w:lineRule="auto"/>
        <w:rPr>
          <w:rFonts w:ascii="宋体" w:eastAsia="宋体" w:hAnsi="Calibri"/>
          <w:bCs w:val="0"/>
          <w:color w:val="000000"/>
          <w:sz w:val="24"/>
          <w:szCs w:val="24"/>
        </w:rPr>
      </w:pPr>
      <w:bookmarkStart w:id="1" w:name="_Toc275961419"/>
      <w:r>
        <w:rPr>
          <w:rFonts w:ascii="宋体" w:eastAsia="宋体" w:hAnsi="Calibri"/>
          <w:bCs w:val="0"/>
          <w:color w:val="000000"/>
          <w:sz w:val="24"/>
          <w:szCs w:val="24"/>
        </w:rPr>
        <w:t xml:space="preserve">2 </w:t>
      </w:r>
      <w:r>
        <w:rPr>
          <w:rFonts w:ascii="宋体" w:eastAsia="宋体" w:hAnsi="Calibri"/>
          <w:bCs w:val="0"/>
          <w:color w:val="000000"/>
          <w:sz w:val="24"/>
          <w:szCs w:val="24"/>
        </w:rPr>
        <w:t>与分红相关的其他信息</w:t>
      </w:r>
      <w:bookmarkEnd w:id="1"/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6405"/>
      </w:tblGrid>
      <w:tr w:rsidR="001E4ECF">
        <w:trPr>
          <w:jc w:val="center"/>
        </w:trPr>
        <w:tc>
          <w:tcPr>
            <w:tcW w:w="4355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4355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2023</w:t>
            </w:r>
            <w:r>
              <w:rPr>
                <w:rFonts w:ascii="宋体" w:hAnsi="Calibri"/>
                <w:sz w:val="24"/>
                <w:szCs w:val="24"/>
              </w:rPr>
              <w:t>年</w:t>
            </w:r>
            <w:r>
              <w:rPr>
                <w:rFonts w:ascii="宋体" w:hAnsi="Calibri"/>
                <w:sz w:val="24"/>
                <w:szCs w:val="24"/>
              </w:rPr>
              <w:t>1</w:t>
            </w:r>
            <w:r>
              <w:rPr>
                <w:rFonts w:ascii="宋体" w:hAnsi="Calibri" w:hint="eastAsia"/>
                <w:sz w:val="24"/>
                <w:szCs w:val="24"/>
              </w:rPr>
              <w:t>2</w:t>
            </w:r>
            <w:r>
              <w:rPr>
                <w:rFonts w:ascii="宋体" w:hAnsi="Calibri"/>
                <w:sz w:val="24"/>
                <w:szCs w:val="24"/>
              </w:rPr>
              <w:t>月</w:t>
            </w:r>
            <w:r>
              <w:rPr>
                <w:rFonts w:ascii="宋体" w:hAnsi="Calibri" w:hint="eastAsia"/>
                <w:sz w:val="24"/>
                <w:szCs w:val="24"/>
              </w:rPr>
              <w:t>25</w:t>
            </w:r>
            <w:r>
              <w:rPr>
                <w:rFonts w:ascii="宋体" w:hAnsi="Calibri"/>
                <w:sz w:val="24"/>
                <w:szCs w:val="24"/>
              </w:rPr>
              <w:t>日</w:t>
            </w:r>
          </w:p>
        </w:tc>
      </w:tr>
      <w:tr w:rsidR="001E4ECF">
        <w:trPr>
          <w:jc w:val="center"/>
        </w:trPr>
        <w:tc>
          <w:tcPr>
            <w:tcW w:w="4355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除息日</w:t>
            </w:r>
          </w:p>
        </w:tc>
        <w:tc>
          <w:tcPr>
            <w:tcW w:w="8710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2023</w:t>
            </w:r>
            <w:r>
              <w:rPr>
                <w:rFonts w:ascii="宋体" w:hAnsi="Calibri"/>
                <w:sz w:val="24"/>
                <w:szCs w:val="24"/>
              </w:rPr>
              <w:t>年</w:t>
            </w:r>
            <w:r>
              <w:rPr>
                <w:rFonts w:ascii="宋体" w:hAnsi="Calibri"/>
                <w:sz w:val="24"/>
                <w:szCs w:val="24"/>
              </w:rPr>
              <w:t>1</w:t>
            </w:r>
            <w:r>
              <w:rPr>
                <w:rFonts w:ascii="宋体" w:hAnsi="Calibri" w:hint="eastAsia"/>
                <w:sz w:val="24"/>
                <w:szCs w:val="24"/>
              </w:rPr>
              <w:t>2</w:t>
            </w:r>
            <w:r>
              <w:rPr>
                <w:rFonts w:ascii="宋体" w:hAnsi="Calibri"/>
                <w:sz w:val="24"/>
                <w:szCs w:val="24"/>
              </w:rPr>
              <w:t>月</w:t>
            </w:r>
            <w:r>
              <w:rPr>
                <w:rFonts w:ascii="宋体" w:hAnsi="Calibri" w:hint="eastAsia"/>
                <w:sz w:val="24"/>
                <w:szCs w:val="24"/>
              </w:rPr>
              <w:t>25</w:t>
            </w:r>
            <w:r>
              <w:rPr>
                <w:rFonts w:ascii="宋体" w:hAnsi="Calibri"/>
                <w:sz w:val="24"/>
                <w:szCs w:val="24"/>
              </w:rPr>
              <w:t>日</w:t>
            </w:r>
          </w:p>
        </w:tc>
      </w:tr>
      <w:tr w:rsidR="001E4ECF">
        <w:trPr>
          <w:jc w:val="center"/>
        </w:trPr>
        <w:tc>
          <w:tcPr>
            <w:tcW w:w="4355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4355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2023</w:t>
            </w:r>
            <w:r>
              <w:rPr>
                <w:rFonts w:ascii="宋体" w:hAnsi="Calibri"/>
                <w:sz w:val="24"/>
                <w:szCs w:val="24"/>
              </w:rPr>
              <w:t>年</w:t>
            </w:r>
            <w:r>
              <w:rPr>
                <w:rFonts w:ascii="宋体" w:hAnsi="Calibri" w:hint="eastAsia"/>
                <w:sz w:val="24"/>
                <w:szCs w:val="24"/>
              </w:rPr>
              <w:t>12</w:t>
            </w:r>
            <w:r>
              <w:rPr>
                <w:rFonts w:ascii="宋体" w:hAnsi="Calibri"/>
                <w:sz w:val="24"/>
                <w:szCs w:val="24"/>
              </w:rPr>
              <w:t>月</w:t>
            </w:r>
            <w:r>
              <w:rPr>
                <w:rFonts w:ascii="宋体" w:hAnsi="Calibri" w:hint="eastAsia"/>
                <w:sz w:val="24"/>
                <w:szCs w:val="24"/>
              </w:rPr>
              <w:t>27</w:t>
            </w:r>
            <w:r>
              <w:rPr>
                <w:rFonts w:ascii="宋体" w:hAnsi="Calibri"/>
                <w:sz w:val="24"/>
                <w:szCs w:val="24"/>
              </w:rPr>
              <w:t>日</w:t>
            </w:r>
          </w:p>
        </w:tc>
      </w:tr>
      <w:tr w:rsidR="001E4ECF">
        <w:trPr>
          <w:jc w:val="center"/>
        </w:trPr>
        <w:tc>
          <w:tcPr>
            <w:tcW w:w="4355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分红对象</w:t>
            </w:r>
          </w:p>
        </w:tc>
        <w:tc>
          <w:tcPr>
            <w:tcW w:w="4355" w:type="dxa"/>
            <w:shd w:val="clear" w:color="auto" w:fill="auto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权益登记日登记在册的本基金份额持有人。</w:t>
            </w:r>
          </w:p>
        </w:tc>
      </w:tr>
      <w:tr w:rsidR="001E4ECF">
        <w:trPr>
          <w:jc w:val="center"/>
        </w:trPr>
        <w:tc>
          <w:tcPr>
            <w:tcW w:w="4355" w:type="dxa"/>
            <w:shd w:val="clear" w:color="auto" w:fill="auto"/>
            <w:vAlign w:val="center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4355" w:type="dxa"/>
            <w:shd w:val="clear" w:color="auto" w:fill="auto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投资者选择红利再投资方式的，其现金红利将按</w:t>
            </w:r>
            <w:r>
              <w:rPr>
                <w:rFonts w:ascii="宋体" w:hAnsi="Calibri"/>
                <w:sz w:val="24"/>
                <w:szCs w:val="24"/>
              </w:rPr>
              <w:t>2023</w:t>
            </w:r>
            <w:r>
              <w:rPr>
                <w:rFonts w:ascii="宋体" w:hAnsi="Calibri"/>
                <w:sz w:val="24"/>
                <w:szCs w:val="24"/>
              </w:rPr>
              <w:t>年</w:t>
            </w:r>
            <w:r>
              <w:rPr>
                <w:rFonts w:ascii="宋体" w:hAnsi="Calibri" w:hint="eastAsia"/>
                <w:sz w:val="24"/>
                <w:szCs w:val="24"/>
              </w:rPr>
              <w:t>12</w:t>
            </w:r>
            <w:r>
              <w:rPr>
                <w:rFonts w:ascii="宋体" w:hAnsi="Calibri"/>
                <w:sz w:val="24"/>
                <w:szCs w:val="24"/>
              </w:rPr>
              <w:t>月</w:t>
            </w:r>
            <w:r>
              <w:rPr>
                <w:rFonts w:ascii="宋体" w:hAnsi="Calibri" w:hint="eastAsia"/>
                <w:sz w:val="24"/>
                <w:szCs w:val="24"/>
              </w:rPr>
              <w:t>25</w:t>
            </w:r>
            <w:r>
              <w:rPr>
                <w:rFonts w:ascii="宋体" w:hAnsi="Calibri"/>
                <w:sz w:val="24"/>
                <w:szCs w:val="24"/>
              </w:rPr>
              <w:t>日除息后的基金份额净值转换为基金份额，再投资所得的基金份额将于</w:t>
            </w:r>
            <w:r>
              <w:rPr>
                <w:rFonts w:ascii="宋体" w:hAnsi="Calibri"/>
                <w:sz w:val="24"/>
                <w:szCs w:val="24"/>
              </w:rPr>
              <w:t>2023</w:t>
            </w:r>
            <w:r>
              <w:rPr>
                <w:rFonts w:ascii="宋体" w:hAnsi="Calibri"/>
                <w:sz w:val="24"/>
                <w:szCs w:val="24"/>
              </w:rPr>
              <w:t>年</w:t>
            </w:r>
            <w:r>
              <w:rPr>
                <w:rFonts w:ascii="宋体" w:hAnsi="Calibri" w:hint="eastAsia"/>
                <w:sz w:val="24"/>
                <w:szCs w:val="24"/>
              </w:rPr>
              <w:t>12</w:t>
            </w:r>
            <w:r>
              <w:rPr>
                <w:rFonts w:ascii="宋体" w:hAnsi="Calibri"/>
                <w:sz w:val="24"/>
                <w:szCs w:val="24"/>
              </w:rPr>
              <w:t>月</w:t>
            </w:r>
            <w:r>
              <w:rPr>
                <w:rFonts w:ascii="宋体" w:hAnsi="Calibri" w:hint="eastAsia"/>
                <w:sz w:val="24"/>
                <w:szCs w:val="24"/>
              </w:rPr>
              <w:t>26</w:t>
            </w:r>
            <w:r>
              <w:rPr>
                <w:rFonts w:ascii="宋体" w:hAnsi="Calibri"/>
                <w:sz w:val="24"/>
                <w:szCs w:val="24"/>
              </w:rPr>
              <w:t>日直接计入其基金账户，</w:t>
            </w:r>
            <w:r>
              <w:rPr>
                <w:rFonts w:ascii="宋体" w:hAnsi="Calibri"/>
                <w:sz w:val="24"/>
                <w:szCs w:val="24"/>
              </w:rPr>
              <w:t>2023</w:t>
            </w:r>
            <w:r>
              <w:rPr>
                <w:rFonts w:ascii="宋体" w:hAnsi="Calibri"/>
                <w:sz w:val="24"/>
                <w:szCs w:val="24"/>
              </w:rPr>
              <w:t>年</w:t>
            </w:r>
            <w:r>
              <w:rPr>
                <w:rFonts w:ascii="宋体" w:hAnsi="Calibri" w:hint="eastAsia"/>
                <w:sz w:val="24"/>
                <w:szCs w:val="24"/>
              </w:rPr>
              <w:t>12</w:t>
            </w:r>
            <w:r>
              <w:rPr>
                <w:rFonts w:ascii="宋体" w:hAnsi="Calibri"/>
                <w:sz w:val="24"/>
                <w:szCs w:val="24"/>
              </w:rPr>
              <w:t>月</w:t>
            </w:r>
            <w:r>
              <w:rPr>
                <w:rFonts w:ascii="宋体" w:hAnsi="Calibri" w:hint="eastAsia"/>
                <w:sz w:val="24"/>
                <w:szCs w:val="24"/>
              </w:rPr>
              <w:t>27</w:t>
            </w:r>
            <w:r>
              <w:rPr>
                <w:rFonts w:ascii="宋体" w:hAnsi="Calibri"/>
                <w:sz w:val="24"/>
                <w:szCs w:val="24"/>
              </w:rPr>
              <w:t>日起可以查询、赎回。</w:t>
            </w:r>
          </w:p>
        </w:tc>
      </w:tr>
      <w:tr w:rsidR="001E4ECF">
        <w:trPr>
          <w:jc w:val="center"/>
        </w:trPr>
        <w:tc>
          <w:tcPr>
            <w:tcW w:w="4355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4355" w:type="dxa"/>
            <w:shd w:val="clear" w:color="auto" w:fill="auto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根据国家相关规定，基金向投资者分配的基金收益，暂免征收所得税。</w:t>
            </w:r>
          </w:p>
        </w:tc>
      </w:tr>
      <w:tr w:rsidR="001E4ECF">
        <w:trPr>
          <w:jc w:val="center"/>
        </w:trPr>
        <w:tc>
          <w:tcPr>
            <w:tcW w:w="4355" w:type="dxa"/>
          </w:tcPr>
          <w:p w:rsidR="001E4ECF" w:rsidRDefault="000D596E">
            <w:pPr>
              <w:spacing w:line="360" w:lineRule="auto"/>
              <w:rPr>
                <w:rFonts w:ascii="宋体" w:hAnsi="Calibri"/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4355" w:type="dxa"/>
            <w:shd w:val="clear" w:color="auto" w:fill="auto"/>
          </w:tcPr>
          <w:p w:rsidR="001E4ECF" w:rsidRDefault="000D596E">
            <w:pPr>
              <w:spacing w:line="360" w:lineRule="auto"/>
              <w:rPr>
                <w:rFonts w:ascii="宋体" w:hAnsi="Calibri"/>
                <w:sz w:val="24"/>
                <w:szCs w:val="24"/>
              </w:rPr>
            </w:pPr>
            <w:r>
              <w:rPr>
                <w:rFonts w:ascii="宋体" w:hAnsi="Calibri"/>
                <w:sz w:val="24"/>
                <w:szCs w:val="24"/>
              </w:rPr>
              <w:t>本次分红免收分红手续费。</w:t>
            </w:r>
          </w:p>
        </w:tc>
      </w:tr>
    </w:tbl>
    <w:p w:rsidR="001E4ECF" w:rsidRDefault="000D596E">
      <w:pPr>
        <w:pStyle w:val="Heading2"/>
        <w:spacing w:line="360" w:lineRule="auto"/>
        <w:rPr>
          <w:rFonts w:ascii="宋体" w:eastAsia="宋体" w:hAnsi="Calibri"/>
          <w:bCs w:val="0"/>
          <w:color w:val="000000"/>
          <w:sz w:val="24"/>
          <w:szCs w:val="24"/>
        </w:rPr>
      </w:pPr>
      <w:bookmarkStart w:id="2" w:name="_Toc275961420"/>
      <w:r>
        <w:rPr>
          <w:rFonts w:ascii="宋体" w:eastAsia="宋体" w:hAnsi="Calibri"/>
          <w:bCs w:val="0"/>
          <w:color w:val="000000"/>
          <w:sz w:val="24"/>
          <w:szCs w:val="24"/>
        </w:rPr>
        <w:t xml:space="preserve">3 </w:t>
      </w:r>
      <w:r>
        <w:rPr>
          <w:rFonts w:ascii="宋体" w:eastAsia="宋体" w:hAnsi="Calibri"/>
          <w:bCs w:val="0"/>
          <w:color w:val="000000"/>
          <w:sz w:val="24"/>
          <w:szCs w:val="24"/>
        </w:rPr>
        <w:t>其他需要提示的事项</w:t>
      </w:r>
      <w:bookmarkEnd w:id="2"/>
    </w:p>
    <w:p w:rsidR="001E4ECF" w:rsidRDefault="000D596E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t>（</w:t>
      </w:r>
      <w:r>
        <w:rPr>
          <w:rFonts w:ascii="宋体" w:hAnsi="Calibri"/>
          <w:sz w:val="24"/>
          <w:szCs w:val="24"/>
        </w:rPr>
        <w:t>1</w:t>
      </w:r>
      <w:r>
        <w:rPr>
          <w:rFonts w:ascii="宋体" w:hAnsi="Calibri"/>
          <w:sz w:val="24"/>
          <w:szCs w:val="24"/>
        </w:rPr>
        <w:t xml:space="preserve">）本次收益分配公告已经本基金托管人复核。　　</w:t>
      </w:r>
    </w:p>
    <w:p w:rsidR="001E4ECF" w:rsidRDefault="000D596E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t>（</w:t>
      </w:r>
      <w:r>
        <w:rPr>
          <w:rFonts w:ascii="宋体" w:hAnsi="Calibri"/>
          <w:sz w:val="24"/>
          <w:szCs w:val="24"/>
        </w:rPr>
        <w:t>2</w:t>
      </w:r>
      <w:r>
        <w:rPr>
          <w:rFonts w:ascii="宋体" w:hAnsi="Calibri"/>
          <w:sz w:val="24"/>
          <w:szCs w:val="24"/>
        </w:rPr>
        <w:t>）权益登记日当日，申请赎回本基金的基金份额将享有本次分红权益，申请申购本基金的基金份额将不享有本次分红权益。</w:t>
      </w:r>
    </w:p>
    <w:p w:rsidR="001E4ECF" w:rsidRDefault="000D596E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t>（</w:t>
      </w:r>
      <w:r>
        <w:rPr>
          <w:rFonts w:ascii="宋体" w:hAnsi="Calibri"/>
          <w:sz w:val="24"/>
          <w:szCs w:val="24"/>
        </w:rPr>
        <w:t>3</w:t>
      </w:r>
      <w:r>
        <w:rPr>
          <w:rFonts w:ascii="宋体" w:hAnsi="Calibri"/>
          <w:sz w:val="24"/>
          <w:szCs w:val="24"/>
        </w:rPr>
        <w:t>）本基金默认的分红方式为现金分红，投资者可到销售网点修改分红方式，分红方式将以投资者在权益登记日之前（不含权益登记日当日）最后一次选择为准。</w:t>
      </w:r>
    </w:p>
    <w:p w:rsidR="001E4ECF" w:rsidRDefault="000D596E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t>（</w:t>
      </w:r>
      <w:r>
        <w:rPr>
          <w:rFonts w:ascii="宋体" w:hAnsi="Calibri"/>
          <w:sz w:val="24"/>
          <w:szCs w:val="24"/>
        </w:rPr>
        <w:t>4</w:t>
      </w:r>
      <w:r>
        <w:rPr>
          <w:rFonts w:ascii="宋体" w:hAnsi="Calibri"/>
          <w:sz w:val="24"/>
          <w:szCs w:val="24"/>
        </w:rPr>
        <w:t>）因本次分红导致基金净值变化，不会改变本基金的风险收益特征，不会降低基金投资风险或提高基金投资收益。</w:t>
      </w:r>
    </w:p>
    <w:p w:rsidR="001E4ECF" w:rsidRDefault="000D596E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t>（</w:t>
      </w:r>
      <w:r>
        <w:rPr>
          <w:rFonts w:ascii="宋体" w:hAnsi="Calibri"/>
          <w:sz w:val="24"/>
          <w:szCs w:val="24"/>
        </w:rPr>
        <w:t>5</w:t>
      </w:r>
      <w:r>
        <w:rPr>
          <w:rFonts w:ascii="宋体" w:hAnsi="Calibri"/>
          <w:sz w:val="24"/>
          <w:szCs w:val="24"/>
        </w:rPr>
        <w:t>）投资者可以通过以下途径咨询、了解本基金有关详情：</w:t>
      </w:r>
      <w:r>
        <w:rPr>
          <w:rFonts w:ascii="宋体" w:hAnsi="Calibri"/>
          <w:sz w:val="24"/>
          <w:szCs w:val="24"/>
        </w:rPr>
        <w:t>①</w:t>
      </w:r>
      <w:r>
        <w:rPr>
          <w:rFonts w:ascii="宋体" w:hAnsi="Calibri"/>
          <w:sz w:val="24"/>
          <w:szCs w:val="24"/>
        </w:rPr>
        <w:t>华泰证券（上海）资产管理有限公司网站</w:t>
      </w:r>
      <w:r>
        <w:rPr>
          <w:rFonts w:ascii="宋体" w:hAnsi="Calibri"/>
          <w:sz w:val="24"/>
          <w:szCs w:val="24"/>
        </w:rPr>
        <w:t>https://htamc.htsc.com.cn</w:t>
      </w:r>
      <w:r>
        <w:rPr>
          <w:rFonts w:ascii="宋体" w:hAnsi="Calibri"/>
          <w:sz w:val="24"/>
          <w:szCs w:val="24"/>
        </w:rPr>
        <w:t>，客</w:t>
      </w:r>
      <w:r>
        <w:rPr>
          <w:rFonts w:ascii="宋体" w:hAnsi="Calibri"/>
          <w:sz w:val="24"/>
          <w:szCs w:val="24"/>
        </w:rPr>
        <w:t>户服务电话：</w:t>
      </w:r>
      <w:r>
        <w:rPr>
          <w:rFonts w:ascii="宋体" w:hAnsi="Calibri"/>
          <w:sz w:val="24"/>
          <w:szCs w:val="24"/>
        </w:rPr>
        <w:lastRenderedPageBreak/>
        <w:t>4008895597</w:t>
      </w:r>
      <w:r>
        <w:rPr>
          <w:rFonts w:ascii="宋体" w:hAnsi="Calibri"/>
          <w:sz w:val="24"/>
          <w:szCs w:val="24"/>
        </w:rPr>
        <w:t>。</w:t>
      </w:r>
      <w:r>
        <w:rPr>
          <w:rFonts w:ascii="宋体" w:hAnsi="Calibri"/>
          <w:sz w:val="24"/>
          <w:szCs w:val="24"/>
        </w:rPr>
        <w:t>②</w:t>
      </w:r>
      <w:r>
        <w:rPr>
          <w:rFonts w:ascii="宋体" w:hAnsi="Calibri"/>
          <w:sz w:val="24"/>
          <w:szCs w:val="24"/>
        </w:rPr>
        <w:t>基金销售机构：详见本基金招募说明书或者管理人网站。</w:t>
      </w:r>
    </w:p>
    <w:p w:rsidR="001E4ECF" w:rsidRDefault="000D596E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t>风险提示：本基金管理人承诺以诚实信用、勤勉尽责的原则管理和运用基金资产，但不保证基金一定盈利，也不保证最低收益。基金的过往业绩及其净值高低并不预示其未来业绩表现，基金管理人管理的其他基金的业绩不构成对本基金业绩表现的保证。投资有风险，敬请投资者在投资基金前认真阅读基金合同、招募说明书、基金产品资料概要等基金法律文件，了解基金的风险收益特征，并根据自身的风险承受能力选择适合自己的基金产品。敬请投资者在购买基金前认真考虑、谨</w:t>
      </w:r>
      <w:r>
        <w:rPr>
          <w:rFonts w:ascii="宋体" w:hAnsi="Calibri"/>
          <w:sz w:val="24"/>
          <w:szCs w:val="24"/>
        </w:rPr>
        <w:t>慎决策。</w:t>
      </w:r>
    </w:p>
    <w:p w:rsidR="001E4ECF" w:rsidRDefault="001E4ECF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</w:p>
    <w:p w:rsidR="001E4ECF" w:rsidRDefault="001E4ECF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</w:p>
    <w:p w:rsidR="001E4ECF" w:rsidRDefault="001E4ECF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</w:p>
    <w:p w:rsidR="001E4ECF" w:rsidRDefault="001E4ECF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</w:p>
    <w:p w:rsidR="001E4ECF" w:rsidRDefault="000D596E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  <w:r>
        <w:rPr>
          <w:rFonts w:ascii="宋体" w:hAnsi="Calibri" w:hint="eastAsia"/>
          <w:sz w:val="24"/>
          <w:szCs w:val="24"/>
        </w:rPr>
        <w:t xml:space="preserve"> </w:t>
      </w:r>
      <w:r>
        <w:rPr>
          <w:rFonts w:ascii="宋体" w:hAnsi="Calibri"/>
          <w:sz w:val="24"/>
          <w:szCs w:val="24"/>
        </w:rPr>
        <w:t xml:space="preserve">                                 </w:t>
      </w:r>
      <w:r>
        <w:rPr>
          <w:rFonts w:ascii="宋体" w:hAnsi="Calibri" w:hint="eastAsia"/>
          <w:sz w:val="24"/>
          <w:szCs w:val="24"/>
        </w:rPr>
        <w:t>华泰证券（上海）资产管理有限公司</w:t>
      </w:r>
    </w:p>
    <w:p w:rsidR="001E4ECF" w:rsidRDefault="000D596E">
      <w:pPr>
        <w:spacing w:line="360" w:lineRule="auto"/>
        <w:ind w:firstLineChars="200" w:firstLine="480"/>
        <w:rPr>
          <w:rFonts w:ascii="宋体" w:hAnsi="Calibri"/>
          <w:sz w:val="24"/>
          <w:szCs w:val="24"/>
        </w:rPr>
      </w:pPr>
      <w:r>
        <w:rPr>
          <w:rFonts w:ascii="宋体" w:hAnsi="Calibri"/>
          <w:sz w:val="24"/>
          <w:szCs w:val="24"/>
        </w:rPr>
        <w:t xml:space="preserve">                                         </w:t>
      </w:r>
      <w:r>
        <w:rPr>
          <w:rFonts w:ascii="宋体" w:hAnsi="Calibri" w:hint="eastAsia"/>
          <w:sz w:val="24"/>
          <w:szCs w:val="24"/>
        </w:rPr>
        <w:t>2023</w:t>
      </w:r>
      <w:r>
        <w:rPr>
          <w:rFonts w:ascii="宋体" w:hAnsi="Calibri" w:hint="eastAsia"/>
          <w:sz w:val="24"/>
          <w:szCs w:val="24"/>
        </w:rPr>
        <w:t>年</w:t>
      </w:r>
      <w:r>
        <w:rPr>
          <w:rFonts w:ascii="宋体" w:hAnsi="Calibri" w:hint="eastAsia"/>
          <w:sz w:val="24"/>
          <w:szCs w:val="24"/>
        </w:rPr>
        <w:t>12</w:t>
      </w:r>
      <w:r>
        <w:rPr>
          <w:rFonts w:ascii="宋体" w:hAnsi="Calibri" w:hint="eastAsia"/>
          <w:sz w:val="24"/>
          <w:szCs w:val="24"/>
        </w:rPr>
        <w:t>月</w:t>
      </w:r>
      <w:r>
        <w:rPr>
          <w:rFonts w:ascii="宋体" w:hAnsi="Calibri" w:hint="eastAsia"/>
          <w:sz w:val="24"/>
          <w:szCs w:val="24"/>
        </w:rPr>
        <w:t>2</w:t>
      </w:r>
      <w:bookmarkStart w:id="3" w:name="_GoBack"/>
      <w:bookmarkEnd w:id="3"/>
      <w:r>
        <w:rPr>
          <w:rFonts w:ascii="宋体" w:hAnsi="Calibri" w:hint="eastAsia"/>
          <w:sz w:val="24"/>
          <w:szCs w:val="24"/>
        </w:rPr>
        <w:t>1</w:t>
      </w:r>
      <w:r>
        <w:rPr>
          <w:rFonts w:ascii="宋体" w:hAnsi="Calibri" w:hint="eastAsia"/>
          <w:sz w:val="24"/>
          <w:szCs w:val="24"/>
        </w:rPr>
        <w:t>日</w:t>
      </w:r>
    </w:p>
    <w:sectPr w:rsidR="001E4ECF" w:rsidSect="001E4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CF" w:rsidRDefault="000D596E">
      <w:r>
        <w:separator/>
      </w:r>
    </w:p>
  </w:endnote>
  <w:endnote w:type="continuationSeparator" w:id="0">
    <w:p w:rsidR="001E4ECF" w:rsidRDefault="000D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CF" w:rsidRDefault="000D596E">
      <w:r>
        <w:separator/>
      </w:r>
    </w:p>
  </w:footnote>
  <w:footnote w:type="continuationSeparator" w:id="0">
    <w:p w:rsidR="001E4ECF" w:rsidRDefault="000D5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</w:compat>
  <w:rsids>
    <w:rsidRoot w:val="001E4ECF"/>
    <w:rsid w:val="000D596E"/>
    <w:rsid w:val="001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CF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E4EC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1E4EC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E4EC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E4EC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E4EC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E4EC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E4EC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E4EC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E4EC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E4EC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E4EC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E4EC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E4EC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E4EC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E4EC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E4EC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E4ECF"/>
    <w:pPr>
      <w:ind w:left="720"/>
      <w:contextualSpacing/>
    </w:pPr>
  </w:style>
  <w:style w:type="paragraph" w:styleId="a4">
    <w:name w:val="No Spacing"/>
    <w:uiPriority w:val="1"/>
    <w:qFormat/>
    <w:rsid w:val="001E4ECF"/>
  </w:style>
  <w:style w:type="paragraph" w:styleId="a5">
    <w:name w:val="Title"/>
    <w:basedOn w:val="a"/>
    <w:next w:val="a"/>
    <w:link w:val="Char"/>
    <w:uiPriority w:val="10"/>
    <w:qFormat/>
    <w:rsid w:val="001E4ECF"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标题 Char"/>
    <w:basedOn w:val="a0"/>
    <w:link w:val="a5"/>
    <w:uiPriority w:val="10"/>
    <w:rsid w:val="001E4ECF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rsid w:val="001E4ECF"/>
    <w:pPr>
      <w:spacing w:before="200" w:after="200"/>
    </w:pPr>
    <w:rPr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1E4ECF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rsid w:val="001E4ECF"/>
    <w:pPr>
      <w:ind w:left="720" w:right="720"/>
    </w:pPr>
    <w:rPr>
      <w:i/>
    </w:rPr>
  </w:style>
  <w:style w:type="character" w:customStyle="1" w:styleId="Char1">
    <w:name w:val="引用 Char"/>
    <w:link w:val="a7"/>
    <w:uiPriority w:val="29"/>
    <w:rsid w:val="001E4ECF"/>
    <w:rPr>
      <w:i/>
    </w:rPr>
  </w:style>
  <w:style w:type="paragraph" w:styleId="a8">
    <w:name w:val="Intense Quote"/>
    <w:basedOn w:val="a"/>
    <w:next w:val="a"/>
    <w:link w:val="Char2"/>
    <w:uiPriority w:val="30"/>
    <w:qFormat/>
    <w:rsid w:val="001E4EC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har2">
    <w:name w:val="明显引用 Char"/>
    <w:link w:val="a8"/>
    <w:uiPriority w:val="30"/>
    <w:rsid w:val="001E4ECF"/>
    <w:rPr>
      <w:i/>
    </w:rPr>
  </w:style>
  <w:style w:type="character" w:customStyle="1" w:styleId="HeaderChar">
    <w:name w:val="Header Char"/>
    <w:basedOn w:val="a0"/>
    <w:link w:val="Header"/>
    <w:uiPriority w:val="99"/>
    <w:rsid w:val="001E4ECF"/>
  </w:style>
  <w:style w:type="character" w:customStyle="1" w:styleId="FooterChar">
    <w:name w:val="Footer Char"/>
    <w:basedOn w:val="a0"/>
    <w:link w:val="Footer"/>
    <w:uiPriority w:val="99"/>
    <w:rsid w:val="001E4EC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E4EC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E4ECF"/>
  </w:style>
  <w:style w:type="table" w:styleId="a9">
    <w:name w:val="Table Grid"/>
    <w:basedOn w:val="a1"/>
    <w:uiPriority w:val="59"/>
    <w:rsid w:val="001E4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TableGridLight">
    <w:name w:val="Table Grid Light"/>
    <w:basedOn w:val="a1"/>
    <w:uiPriority w:val="59"/>
    <w:rsid w:val="001E4EC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1">
    <w:name w:val="Plain Table 1"/>
    <w:basedOn w:val="a1"/>
    <w:uiPriority w:val="59"/>
    <w:rsid w:val="001E4EC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</w:tblStylePr>
    <w:tblStylePr w:type="lastRow">
      <w:pPr>
        <w:snapToGrid/>
      </w:pPr>
      <w:rPr>
        <w:rFonts w:ascii="Arial" w:hAnsi="Arial"/>
        <w:b/>
        <w:color w:val="404040"/>
        <w:sz w:val="22"/>
      </w:r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2">
    <w:name w:val="Plain Table 2"/>
    <w:basedOn w:val="a1"/>
    <w:uiPriority w:val="59"/>
    <w:rsid w:val="001E4EC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pPr>
        <w:snapToGrid/>
      </w:p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pPr>
        <w:snapToGrid/>
      </w:p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3">
    <w:name w:val="Plain Table 3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>
        <w:snapToGrid/>
      </w:pPr>
      <w:rPr>
        <w:b/>
        <w:caps/>
        <w:color w:val="404040"/>
      </w:rPr>
    </w:tblStylePr>
    <w:tblStylePr w:type="firstCol">
      <w:pPr>
        <w:snapToGrid/>
      </w:pPr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>
        <w:snapToGrid/>
      </w:pPr>
      <w:rPr>
        <w:b/>
        <w:caps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4">
    <w:name w:val="Plain Table 4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5">
    <w:name w:val="Plain Table 5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">
    <w:name w:val="Grid Table 1 Light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1">
    <w:name w:val="Grid Table 1 Light 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2">
    <w:name w:val="Grid Table 1 Light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3">
    <w:name w:val="Grid Table 1 Light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4">
    <w:name w:val="Grid Table 1 Light 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5">
    <w:name w:val="Grid Table 1 Light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6">
    <w:name w:val="Grid Table 1 Light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">
    <w:name w:val="Grid Table 2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1">
    <w:name w:val="Grid Table 2 - Accent 1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2">
    <w:name w:val="Grid Table 2 - Accent 2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3">
    <w:name w:val="Grid Table 2 - Accent 3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4">
    <w:name w:val="Grid Table 2 - Accent 4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5">
    <w:name w:val="Grid Table 2 - Accent 5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6">
    <w:name w:val="Grid Table 2 - Accent 6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">
    <w:name w:val="Grid Table 3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1">
    <w:name w:val="Grid Table 3 - Accent 1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2">
    <w:name w:val="Grid Table 3 - Accent 2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3">
    <w:name w:val="Grid Table 3 - Accent 3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4">
    <w:name w:val="Grid Table 3 - Accent 4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5">
    <w:name w:val="Grid Table 3 - Accent 5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6">
    <w:name w:val="Grid Table 3 - Accent 6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">
    <w:name w:val="Grid Table 4"/>
    <w:basedOn w:val="a1"/>
    <w:uiPriority w:val="59"/>
    <w:rsid w:val="001E4EC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1">
    <w:name w:val="Grid Table 4 - Accent 1"/>
    <w:basedOn w:val="a1"/>
    <w:uiPriority w:val="59"/>
    <w:rsid w:val="001E4EC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2">
    <w:name w:val="Grid Table 4 - Accent 2"/>
    <w:basedOn w:val="a1"/>
    <w:uiPriority w:val="59"/>
    <w:rsid w:val="001E4EC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3">
    <w:name w:val="Grid Table 4 - Accent 3"/>
    <w:basedOn w:val="a1"/>
    <w:uiPriority w:val="59"/>
    <w:rsid w:val="001E4EC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4">
    <w:name w:val="Grid Table 4 - Accent 4"/>
    <w:basedOn w:val="a1"/>
    <w:uiPriority w:val="59"/>
    <w:rsid w:val="001E4EC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5">
    <w:name w:val="Grid Table 4 - Accent 5"/>
    <w:basedOn w:val="a1"/>
    <w:uiPriority w:val="59"/>
    <w:rsid w:val="001E4EC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6">
    <w:name w:val="Grid Table 4 - Accent 6"/>
    <w:basedOn w:val="a1"/>
    <w:uiPriority w:val="59"/>
    <w:rsid w:val="001E4EC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">
    <w:name w:val="Grid Table 5 Dark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pPr>
        <w:snapToGrid/>
      </w:pPr>
      <w:tblPr/>
      <w:tcPr>
        <w:shd w:val="clear" w:color="FFFFFF" w:fill="8A8A8A" w:themeFill="text1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8A8A8A" w:themeFill="text1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1">
    <w:name w:val="Grid Table 5 Dark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pPr>
        <w:snapToGrid/>
      </w:pPr>
      <w:tblPr/>
      <w:tcPr>
        <w:shd w:val="clear" w:color="FFFFFF" w:fill="AEC4E0" w:themeFill="accent1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AEC4E0" w:themeFill="accent1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2">
    <w:name w:val="Grid Table 5 Dark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pPr>
        <w:snapToGrid/>
      </w:pPr>
      <w:tblPr/>
      <w:tcPr>
        <w:shd w:val="clear" w:color="FFFFFF" w:fill="E2AEAD" w:themeFill="accent2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2AEAD" w:themeFill="accent2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3">
    <w:name w:val="Grid Table 5 Dark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pPr>
        <w:snapToGrid/>
      </w:pPr>
      <w:tblPr/>
      <w:tcPr>
        <w:shd w:val="clear" w:color="FFFFFF" w:fill="D0DFB2" w:themeFill="accent3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0DFB2" w:themeFill="accent3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4">
    <w:name w:val="Grid Table 5 Dark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pPr>
        <w:snapToGrid/>
      </w:pPr>
      <w:tblPr/>
      <w:tcPr>
        <w:shd w:val="clear" w:color="FFFFFF" w:fill="C4B7D4" w:themeFill="accent4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C4B7D4" w:themeFill="accent4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5">
    <w:name w:val="Grid Table 5 Dark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tblPr/>
      <w:tcPr>
        <w:shd w:val="clear" w:color="FFFFFF" w:fill="ACD8E4" w:themeFill="accent5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ACD8E4" w:themeFill="accent5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6">
    <w:name w:val="Grid Table 5 Dark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tblPr/>
      <w:tcPr>
        <w:shd w:val="clear" w:color="FFFFFF" w:fill="FBCEAA" w:themeFill="accent6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BCEAA" w:themeFill="accent6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">
    <w:name w:val="Grid Table 6 Colorful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pPr>
        <w:snapToGrid/>
      </w:pPr>
      <w:rPr>
        <w:b/>
        <w:color w:val="7F7F7F" w:themeColor="text1" w:themeTint="80" w:themeShade="95"/>
      </w:rPr>
    </w:tblStylePr>
    <w:tblStylePr w:type="firstCol">
      <w:pPr>
        <w:snapToGrid/>
      </w:pPr>
      <w:rPr>
        <w:b/>
        <w:color w:val="7F7F7F" w:themeColor="text1" w:themeTint="80" w:themeShade="95"/>
      </w:rPr>
    </w:tblStylePr>
    <w:tblStylePr w:type="lastCol">
      <w:pPr>
        <w:snapToGrid/>
      </w:pPr>
      <w:rPr>
        <w:b/>
        <w:color w:val="7F7F7F" w:themeColor="text1" w:themeTint="80" w:themeShade="95"/>
      </w:rPr>
    </w:tblStylePr>
    <w:tblStylePr w:type="band1Vert">
      <w:pPr>
        <w:snapToGrid/>
      </w:p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1">
    <w:name w:val="Grid Table 6 Colorful 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pPr>
        <w:snapToGrid/>
      </w:pPr>
      <w:rPr>
        <w:b/>
        <w:color w:val="A6BFDD" w:themeColor="accent1" w:themeTint="80" w:themeShade="95"/>
      </w:rPr>
    </w:tblStylePr>
    <w:tblStylePr w:type="firstCol">
      <w:pPr>
        <w:snapToGrid/>
      </w:pPr>
      <w:rPr>
        <w:b/>
        <w:color w:val="A6BFDD" w:themeColor="accent1" w:themeTint="80" w:themeShade="95"/>
      </w:rPr>
    </w:tblStylePr>
    <w:tblStylePr w:type="lastCol">
      <w:pPr>
        <w:snapToGrid/>
      </w:pPr>
      <w:rPr>
        <w:b/>
        <w:color w:val="A6BFDD" w:themeColor="accent1" w:themeTint="80" w:themeShade="95"/>
      </w:rPr>
    </w:tblStylePr>
    <w:tblStylePr w:type="band1Vert">
      <w:pPr>
        <w:snapToGrid/>
      </w:p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  <w:rPr>
        <w:rFonts w:ascii="Arial" w:hAnsi="Arial"/>
        <w:color w:val="A6BFDD" w:themeColor="accen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2">
    <w:name w:val="Grid Table 6 Colorful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pPr>
        <w:snapToGrid/>
      </w:pPr>
      <w:rPr>
        <w:b/>
        <w:color w:val="D99695" w:themeColor="accent2" w:themeTint="97" w:themeShade="95"/>
      </w:rPr>
    </w:tblStylePr>
    <w:tblStylePr w:type="firstCol">
      <w:pPr>
        <w:snapToGrid/>
      </w:pPr>
      <w:rPr>
        <w:b/>
        <w:color w:val="D99695" w:themeColor="accent2" w:themeTint="97" w:themeShade="95"/>
      </w:rPr>
    </w:tblStylePr>
    <w:tblStylePr w:type="lastCol">
      <w:pPr>
        <w:snapToGrid/>
      </w:pPr>
      <w:rPr>
        <w:b/>
        <w:color w:val="D99695" w:themeColor="accent2" w:themeTint="97" w:themeShade="95"/>
      </w:rPr>
    </w:tblStylePr>
    <w:tblStylePr w:type="band1Vert">
      <w:pPr>
        <w:snapToGrid/>
      </w:p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3">
    <w:name w:val="Grid Table 6 Colorful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pPr>
        <w:snapToGrid/>
      </w:pPr>
      <w:rPr>
        <w:b/>
        <w:color w:val="9ABB59" w:themeColor="accent3" w:themeTint="FE" w:themeShade="95"/>
      </w:rPr>
    </w:tblStylePr>
    <w:tblStylePr w:type="firstCol">
      <w:pPr>
        <w:snapToGrid/>
      </w:pPr>
      <w:rPr>
        <w:b/>
        <w:color w:val="9ABB59" w:themeColor="accent3" w:themeTint="FE" w:themeShade="95"/>
      </w:rPr>
    </w:tblStylePr>
    <w:tblStylePr w:type="lastCol">
      <w:pPr>
        <w:snapToGrid/>
      </w:pPr>
      <w:rPr>
        <w:b/>
        <w:color w:val="9ABB59" w:themeColor="accent3" w:themeTint="FE" w:themeShade="95"/>
      </w:rPr>
    </w:tblStylePr>
    <w:tblStylePr w:type="band1Vert">
      <w:pPr>
        <w:snapToGrid/>
      </w:p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  <w:rPr>
        <w:rFonts w:ascii="Arial" w:hAnsi="Arial"/>
        <w:color w:val="9ABB59" w:themeColor="accent3" w:themeTint="FE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4">
    <w:name w:val="Grid Table 6 Colorful 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pPr>
        <w:snapToGrid/>
      </w:pPr>
      <w:rPr>
        <w:b/>
        <w:color w:val="B2A1C6" w:themeColor="accent4" w:themeTint="9A" w:themeShade="95"/>
      </w:rPr>
    </w:tblStylePr>
    <w:tblStylePr w:type="firstCol">
      <w:pPr>
        <w:snapToGrid/>
      </w:pPr>
      <w:rPr>
        <w:b/>
        <w:color w:val="B2A1C6" w:themeColor="accent4" w:themeTint="9A" w:themeShade="95"/>
      </w:rPr>
    </w:tblStylePr>
    <w:tblStylePr w:type="lastCol">
      <w:pPr>
        <w:snapToGrid/>
      </w:pPr>
      <w:rPr>
        <w:b/>
        <w:color w:val="B2A1C6" w:themeColor="accent4" w:themeTint="9A" w:themeShade="95"/>
      </w:rPr>
    </w:tblStylePr>
    <w:tblStylePr w:type="band1Vert">
      <w:pPr>
        <w:snapToGrid/>
      </w:p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5">
    <w:name w:val="Grid Table 6 Colorful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pPr>
        <w:snapToGrid/>
      </w:pPr>
      <w:rPr>
        <w:b/>
        <w:color w:val="266779" w:themeColor="accent5" w:themeShade="95"/>
      </w:rPr>
    </w:tblStylePr>
    <w:tblStylePr w:type="firstCol">
      <w:pPr>
        <w:snapToGrid/>
      </w:pPr>
      <w:rPr>
        <w:b/>
        <w:color w:val="266779" w:themeColor="accent5" w:themeShade="95"/>
      </w:rPr>
    </w:tblStylePr>
    <w:tblStylePr w:type="lastCol">
      <w:pPr>
        <w:snapToGrid/>
      </w:pPr>
      <w:rPr>
        <w:b/>
        <w:color w:val="266779" w:themeColor="accent5" w:themeShade="95"/>
      </w:rPr>
    </w:tblStylePr>
    <w:tblStylePr w:type="band1Vert">
      <w:pPr>
        <w:snapToGrid/>
      </w:p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6">
    <w:name w:val="Grid Table 6 Colorful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pPr>
        <w:snapToGrid/>
      </w:pPr>
      <w:rPr>
        <w:b/>
        <w:color w:val="266779" w:themeColor="accent5" w:themeShade="95"/>
      </w:rPr>
    </w:tblStylePr>
    <w:tblStylePr w:type="firstCol">
      <w:pPr>
        <w:snapToGrid/>
      </w:pPr>
      <w:rPr>
        <w:b/>
        <w:color w:val="266779" w:themeColor="accent5" w:themeShade="95"/>
      </w:rPr>
    </w:tblStylePr>
    <w:tblStylePr w:type="lastCol">
      <w:pPr>
        <w:snapToGrid/>
      </w:pPr>
      <w:rPr>
        <w:b/>
        <w:color w:val="266779" w:themeColor="accent5" w:themeShade="95"/>
      </w:rPr>
    </w:tblStylePr>
    <w:tblStylePr w:type="band1Vert">
      <w:pPr>
        <w:snapToGrid/>
      </w:p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">
    <w:name w:val="Grid Table 7 Colorful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1">
    <w:name w:val="Grid Table 7 Colorful - Accent 1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  <w:rPr>
        <w:rFonts w:ascii="Arial" w:hAnsi="Arial"/>
        <w:color w:val="A6BFDD" w:themeColor="accen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2">
    <w:name w:val="Grid Table 7 Colorful - Accent 2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3">
    <w:name w:val="Grid Table 7 Colorful - Accent 3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  <w:rPr>
        <w:rFonts w:ascii="Arial" w:hAnsi="Arial"/>
        <w:color w:val="9ABB59" w:themeColor="accent3" w:themeTint="FE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4">
    <w:name w:val="Grid Table 7 Colorful - Accent 4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5">
    <w:name w:val="Grid Table 7 Colorful - Accent 5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6">
    <w:name w:val="Grid Table 7 Colorful - Accent 6"/>
    <w:basedOn w:val="a1"/>
    <w:uiPriority w:val="99"/>
    <w:rsid w:val="001E4EC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  <w:rPr>
        <w:rFonts w:ascii="Arial" w:hAnsi="Arial"/>
        <w:color w:val="B15407" w:themeColor="accent6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">
    <w:name w:val="List Table 1 Light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1">
    <w:name w:val="List Table 1 Light - Accent 1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2">
    <w:name w:val="List Table 1 Light - Accent 2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3">
    <w:name w:val="List Table 1 Light - Accent 3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4">
    <w:name w:val="List Table 1 Light - Accent 4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5">
    <w:name w:val="List Table 1 Light - Accent 5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6">
    <w:name w:val="List Table 1 Light - Accent 6"/>
    <w:basedOn w:val="a1"/>
    <w:uiPriority w:val="99"/>
    <w:rsid w:val="001E4E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">
    <w:name w:val="List Table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1">
    <w:name w:val="List Table 2 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2">
    <w:name w:val="List Table 2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3">
    <w:name w:val="List Table 2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4">
    <w:name w:val="List Table 2 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5">
    <w:name w:val="List Table 2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6">
    <w:name w:val="List Table 2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">
    <w:name w:val="List Table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1">
    <w:name w:val="List Table 3 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2">
    <w:name w:val="List Table 3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3">
    <w:name w:val="List Table 3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4">
    <w:name w:val="List Table 3 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5">
    <w:name w:val="List Table 3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6">
    <w:name w:val="List Table 3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">
    <w:name w:val="List Table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1">
    <w:name w:val="List Table 4 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2">
    <w:name w:val="List Table 4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3">
    <w:name w:val="List Table 4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4">
    <w:name w:val="List Table 4 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5">
    <w:name w:val="List Table 4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6">
    <w:name w:val="List Table 4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">
    <w:name w:val="List Table 5 Dark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1">
    <w:name w:val="List Table 5 Dark 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2">
    <w:name w:val="List Table 5 Dark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3">
    <w:name w:val="List Table 5 Dark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4">
    <w:name w:val="List Table 5 Dark 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5">
    <w:name w:val="List Table 5 Dark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6">
    <w:name w:val="List Table 5 Dark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">
    <w:name w:val="List Table 6 Colorful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pPr>
        <w:snapToGrid/>
      </w:pPr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pPr>
        <w:snapToGrid/>
      </w:pPr>
      <w:rPr>
        <w:b/>
        <w:color w:val="000000" w:themeColor="text1"/>
      </w:rPr>
    </w:tblStylePr>
    <w:tblStylePr w:type="lastCol">
      <w:pPr>
        <w:snapToGrid/>
      </w:pPr>
      <w:rPr>
        <w:b/>
        <w:color w:val="000000" w:themeColor="text1"/>
      </w:r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  <w:rPr>
        <w:rFonts w:ascii="Arial" w:hAnsi="Arial"/>
        <w:color w:val="000000" w:themeColor="text1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1">
    <w:name w:val="List Table 6 Colorful 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pPr>
        <w:snapToGrid/>
      </w:pPr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pPr>
        <w:snapToGrid/>
      </w:pPr>
      <w:rPr>
        <w:b/>
        <w:color w:val="2A4A71" w:themeColor="accent1" w:themeShade="95"/>
      </w:rPr>
    </w:tblStylePr>
    <w:tblStylePr w:type="lastCol">
      <w:pPr>
        <w:snapToGrid/>
      </w:pPr>
      <w:rPr>
        <w:b/>
        <w:color w:val="2A4A71" w:themeColor="accent1" w:themeShade="95"/>
      </w:r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  <w:rPr>
        <w:rFonts w:ascii="Arial" w:hAnsi="Arial"/>
        <w:color w:val="2A4A71" w:themeColor="accent1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2">
    <w:name w:val="List Table 6 Colorful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pPr>
        <w:snapToGrid/>
      </w:pPr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pPr>
        <w:snapToGrid/>
      </w:pPr>
      <w:rPr>
        <w:b/>
        <w:color w:val="D99695" w:themeColor="accent2" w:themeTint="97" w:themeShade="95"/>
      </w:rPr>
    </w:tblStylePr>
    <w:tblStylePr w:type="lastCol">
      <w:pPr>
        <w:snapToGrid/>
      </w:pPr>
      <w:rPr>
        <w:b/>
        <w:color w:val="D99695" w:themeColor="accent2" w:themeTint="97" w:themeShade="95"/>
      </w:r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3">
    <w:name w:val="List Table 6 Colorful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pPr>
        <w:snapToGrid/>
      </w:pPr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pPr>
        <w:snapToGrid/>
      </w:pPr>
      <w:rPr>
        <w:b/>
        <w:color w:val="C3D69B" w:themeColor="accent3" w:themeTint="98" w:themeShade="95"/>
      </w:rPr>
    </w:tblStylePr>
    <w:tblStylePr w:type="lastCol">
      <w:pPr>
        <w:snapToGrid/>
      </w:pPr>
      <w:rPr>
        <w:b/>
        <w:color w:val="C3D69B" w:themeColor="accent3" w:themeTint="98" w:themeShade="95"/>
      </w:r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  <w:rPr>
        <w:rFonts w:ascii="Arial" w:hAnsi="Arial"/>
        <w:color w:val="C3D69B" w:themeColor="accent3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4">
    <w:name w:val="List Table 6 Colorful 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pPr>
        <w:snapToGrid/>
      </w:pPr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pPr>
        <w:snapToGrid/>
      </w:pPr>
      <w:rPr>
        <w:b/>
        <w:color w:val="B2A1C6" w:themeColor="accent4" w:themeTint="9A" w:themeShade="95"/>
      </w:rPr>
    </w:tblStylePr>
    <w:tblStylePr w:type="lastCol">
      <w:pPr>
        <w:snapToGrid/>
      </w:pPr>
      <w:rPr>
        <w:b/>
        <w:color w:val="B2A1C6" w:themeColor="accent4" w:themeTint="9A" w:themeShade="95"/>
      </w:r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5">
    <w:name w:val="List Table 6 Colorful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pPr>
        <w:snapToGrid/>
      </w:pPr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pPr>
        <w:snapToGrid/>
      </w:pPr>
      <w:rPr>
        <w:b/>
        <w:color w:val="92CCDC" w:themeColor="accent5" w:themeTint="9A" w:themeShade="95"/>
      </w:rPr>
    </w:tblStylePr>
    <w:tblStylePr w:type="lastCol">
      <w:pPr>
        <w:snapToGrid/>
      </w:pPr>
      <w:rPr>
        <w:b/>
        <w:color w:val="92CCDC" w:themeColor="accent5" w:themeTint="9A" w:themeShade="95"/>
      </w:r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  <w:rPr>
        <w:rFonts w:ascii="Arial" w:hAnsi="Arial"/>
        <w:color w:val="92CCDC" w:themeColor="accent5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6">
    <w:name w:val="List Table 6 Colorful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pPr>
        <w:snapToGrid/>
      </w:pPr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pPr>
        <w:snapToGrid/>
      </w:pPr>
      <w:rPr>
        <w:b/>
        <w:color w:val="FAC090" w:themeColor="accent6" w:themeTint="98" w:themeShade="95"/>
      </w:rPr>
    </w:tblStylePr>
    <w:tblStylePr w:type="lastCol">
      <w:pPr>
        <w:snapToGrid/>
      </w:pPr>
      <w:rPr>
        <w:b/>
        <w:color w:val="FAC090" w:themeColor="accent6" w:themeTint="98" w:themeShade="95"/>
      </w:r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  <w:rPr>
        <w:rFonts w:ascii="Arial" w:hAnsi="Arial"/>
        <w:color w:val="FAC090" w:themeColor="accent6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">
    <w:name w:val="List Table 7 Colorful"/>
    <w:basedOn w:val="a1"/>
    <w:uiPriority w:val="99"/>
    <w:rsid w:val="001E4EC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1">
    <w:name w:val="List Table 7 Colorful - Accent 1"/>
    <w:basedOn w:val="a1"/>
    <w:uiPriority w:val="99"/>
    <w:rsid w:val="001E4EC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  <w:rPr>
        <w:rFonts w:ascii="Arial" w:hAnsi="Arial"/>
        <w:color w:val="2A4A71" w:themeColor="accent1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2">
    <w:name w:val="List Table 7 Colorful - Accent 2"/>
    <w:basedOn w:val="a1"/>
    <w:uiPriority w:val="99"/>
    <w:rsid w:val="001E4EC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3">
    <w:name w:val="List Table 7 Colorful - Accent 3"/>
    <w:basedOn w:val="a1"/>
    <w:uiPriority w:val="99"/>
    <w:rsid w:val="001E4EC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  <w:rPr>
        <w:rFonts w:ascii="Arial" w:hAnsi="Arial"/>
        <w:color w:val="C3D69B" w:themeColor="accent3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4">
    <w:name w:val="List Table 7 Colorful - Accent 4"/>
    <w:basedOn w:val="a1"/>
    <w:uiPriority w:val="99"/>
    <w:rsid w:val="001E4EC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5">
    <w:name w:val="List Table 7 Colorful - Accent 5"/>
    <w:basedOn w:val="a1"/>
    <w:uiPriority w:val="99"/>
    <w:rsid w:val="001E4EC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  <w:rPr>
        <w:rFonts w:ascii="Arial" w:hAnsi="Arial"/>
        <w:color w:val="92CCDC" w:themeColor="accent5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6">
    <w:name w:val="List Table 7 Colorful - Accent 6"/>
    <w:basedOn w:val="a1"/>
    <w:uiPriority w:val="99"/>
    <w:rsid w:val="001E4EC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  <w:rPr>
        <w:rFonts w:ascii="Arial" w:hAnsi="Arial"/>
        <w:color w:val="FAC090" w:themeColor="accent6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">
    <w:name w:val="Lined - Accent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1">
    <w:name w:val="Lined - Accent 1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2">
    <w:name w:val="Lined - Accent 2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3">
    <w:name w:val="Lined - Accent 3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4">
    <w:name w:val="Lined - Accent 4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5">
    <w:name w:val="Lined - Accent 5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6">
    <w:name w:val="Lined - Accent 6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">
    <w:name w:val="Bordered &amp; Lined - Accent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1">
    <w:name w:val="Bordered &amp; Lined - Accent 1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2">
    <w:name w:val="Bordered &amp; Lined - Accent 2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3">
    <w:name w:val="Bordered &amp; Lined - Accent 3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4">
    <w:name w:val="Bordered &amp; Lined - Accent 4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5">
    <w:name w:val="Bordered &amp; Lined - Accent 5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6">
    <w:name w:val="Bordered &amp; Lined - Accent 6"/>
    <w:basedOn w:val="a1"/>
    <w:uiPriority w:val="99"/>
    <w:rsid w:val="001E4ECF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">
    <w:name w:val="Bordered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1">
    <w:name w:val="Bordered - Accent 1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2">
    <w:name w:val="Bordered - Accent 2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3">
    <w:name w:val="Bordered - Accent 3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4">
    <w:name w:val="Bordered - Accent 4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5">
    <w:name w:val="Bordered - Accent 5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6">
    <w:name w:val="Bordered - Accent 6"/>
    <w:basedOn w:val="a1"/>
    <w:uiPriority w:val="99"/>
    <w:rsid w:val="001E4EC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character" w:styleId="aa">
    <w:name w:val="Hyperlink"/>
    <w:uiPriority w:val="99"/>
    <w:unhideWhenUsed/>
    <w:rsid w:val="001E4ECF"/>
    <w:rPr>
      <w:color w:val="0000FF" w:themeColor="hyperlink"/>
      <w:u w:val="single"/>
    </w:rPr>
  </w:style>
  <w:style w:type="character" w:customStyle="1" w:styleId="FootnoteTextChar">
    <w:name w:val="Footnote Text Char"/>
    <w:link w:val="ab"/>
    <w:uiPriority w:val="99"/>
    <w:rsid w:val="001E4ECF"/>
    <w:rPr>
      <w:sz w:val="18"/>
    </w:rPr>
  </w:style>
  <w:style w:type="paragraph" w:styleId="ac">
    <w:name w:val="endnote text"/>
    <w:basedOn w:val="a"/>
    <w:link w:val="Char3"/>
    <w:uiPriority w:val="99"/>
    <w:semiHidden/>
    <w:unhideWhenUsed/>
    <w:rsid w:val="001E4ECF"/>
    <w:rPr>
      <w:sz w:val="20"/>
    </w:rPr>
  </w:style>
  <w:style w:type="character" w:customStyle="1" w:styleId="Char3">
    <w:name w:val="尾注文本 Char"/>
    <w:link w:val="ac"/>
    <w:uiPriority w:val="99"/>
    <w:rsid w:val="001E4ECF"/>
    <w:rPr>
      <w:sz w:val="20"/>
    </w:rPr>
  </w:style>
  <w:style w:type="character" w:styleId="ad">
    <w:name w:val="endnote reference"/>
    <w:basedOn w:val="a0"/>
    <w:uiPriority w:val="99"/>
    <w:semiHidden/>
    <w:unhideWhenUsed/>
    <w:rsid w:val="001E4EC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E4ECF"/>
    <w:pPr>
      <w:spacing w:after="57"/>
    </w:pPr>
  </w:style>
  <w:style w:type="paragraph" w:styleId="2">
    <w:name w:val="toc 2"/>
    <w:basedOn w:val="a"/>
    <w:next w:val="a"/>
    <w:uiPriority w:val="39"/>
    <w:unhideWhenUsed/>
    <w:rsid w:val="001E4EC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E4EC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E4EC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E4EC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E4EC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E4EC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E4EC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E4ECF"/>
    <w:pPr>
      <w:spacing w:after="57"/>
      <w:ind w:left="2268"/>
    </w:pPr>
  </w:style>
  <w:style w:type="paragraph" w:styleId="TOC">
    <w:name w:val="TOC Heading"/>
    <w:uiPriority w:val="39"/>
    <w:unhideWhenUsed/>
    <w:rsid w:val="001E4ECF"/>
  </w:style>
  <w:style w:type="paragraph" w:styleId="ae">
    <w:name w:val="table of figures"/>
    <w:basedOn w:val="a"/>
    <w:next w:val="a"/>
    <w:uiPriority w:val="99"/>
    <w:unhideWhenUsed/>
    <w:rsid w:val="001E4ECF"/>
  </w:style>
  <w:style w:type="paragraph" w:customStyle="1" w:styleId="Heading1">
    <w:name w:val="Heading 1"/>
    <w:basedOn w:val="a"/>
    <w:next w:val="a"/>
    <w:link w:val="10"/>
    <w:qFormat/>
    <w:rsid w:val="001E4ECF"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customStyle="1" w:styleId="Heading2">
    <w:name w:val="Heading 2"/>
    <w:basedOn w:val="a"/>
    <w:next w:val="a"/>
    <w:link w:val="20"/>
    <w:qFormat/>
    <w:rsid w:val="001E4EC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customStyle="1" w:styleId="10">
    <w:name w:val="标题 1 字符"/>
    <w:basedOn w:val="a0"/>
    <w:link w:val="Heading1"/>
    <w:rsid w:val="001E4ECF"/>
    <w:rPr>
      <w:rFonts w:ascii="Times New Roman" w:eastAsia="宋体" w:hAnsi="Times New Roman" w:cs="Times New Roman"/>
      <w:b/>
      <w:bCs/>
      <w:sz w:val="44"/>
      <w:szCs w:val="44"/>
    </w:rPr>
  </w:style>
  <w:style w:type="character" w:customStyle="1" w:styleId="20">
    <w:name w:val="标题 2 字符"/>
    <w:basedOn w:val="a0"/>
    <w:link w:val="Heading2"/>
    <w:rsid w:val="001E4ECF"/>
    <w:rPr>
      <w:rFonts w:ascii="Arial" w:eastAsia="黑体" w:hAnsi="Arial" w:cs="Times New Roman"/>
      <w:b/>
      <w:bCs/>
      <w:sz w:val="32"/>
      <w:szCs w:val="32"/>
    </w:rPr>
  </w:style>
  <w:style w:type="character" w:styleId="af">
    <w:name w:val="footnote reference"/>
    <w:basedOn w:val="a0"/>
    <w:rsid w:val="001E4ECF"/>
    <w:rPr>
      <w:vertAlign w:val="superscript"/>
    </w:rPr>
  </w:style>
  <w:style w:type="paragraph" w:styleId="ab">
    <w:name w:val="footnote text"/>
    <w:basedOn w:val="a"/>
    <w:link w:val="Char4"/>
    <w:rsid w:val="001E4ECF"/>
    <w:pPr>
      <w:snapToGrid w:val="0"/>
      <w:jc w:val="left"/>
    </w:pPr>
    <w:rPr>
      <w:sz w:val="18"/>
    </w:rPr>
  </w:style>
  <w:style w:type="character" w:customStyle="1" w:styleId="Char4">
    <w:name w:val="脚注文本 Char"/>
    <w:basedOn w:val="a0"/>
    <w:link w:val="ab"/>
    <w:rsid w:val="001E4ECF"/>
    <w:rPr>
      <w:rFonts w:ascii="Times New Roman" w:eastAsia="宋体" w:hAnsi="Times New Roman" w:cs="Times New Roman"/>
      <w:sz w:val="18"/>
      <w:szCs w:val="20"/>
    </w:rPr>
  </w:style>
  <w:style w:type="paragraph" w:styleId="af0">
    <w:name w:val="Document Map"/>
    <w:basedOn w:val="a"/>
    <w:link w:val="Char5"/>
    <w:uiPriority w:val="99"/>
    <w:semiHidden/>
    <w:unhideWhenUsed/>
    <w:rsid w:val="001E4ECF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0"/>
    <w:uiPriority w:val="99"/>
    <w:semiHidden/>
    <w:rsid w:val="001E4ECF"/>
    <w:rPr>
      <w:rFonts w:ascii="宋体" w:eastAsia="宋体" w:hAnsi="Times New Roman" w:cs="Times New Roman"/>
      <w:sz w:val="18"/>
      <w:szCs w:val="18"/>
    </w:rPr>
  </w:style>
  <w:style w:type="paragraph" w:customStyle="1" w:styleId="Header">
    <w:name w:val="Header"/>
    <w:basedOn w:val="a"/>
    <w:link w:val="af1"/>
    <w:uiPriority w:val="99"/>
    <w:unhideWhenUsed/>
    <w:rsid w:val="001E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Header"/>
    <w:uiPriority w:val="99"/>
    <w:rsid w:val="001E4ECF"/>
    <w:rPr>
      <w:rFonts w:ascii="Times New Roman" w:hAnsi="Times New Roman" w:cs="Times New Roman"/>
      <w:sz w:val="18"/>
      <w:szCs w:val="18"/>
    </w:rPr>
  </w:style>
  <w:style w:type="paragraph" w:customStyle="1" w:styleId="Footer">
    <w:name w:val="Footer"/>
    <w:basedOn w:val="a"/>
    <w:link w:val="af2"/>
    <w:uiPriority w:val="99"/>
    <w:unhideWhenUsed/>
    <w:rsid w:val="001E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Footer"/>
    <w:uiPriority w:val="99"/>
    <w:rsid w:val="001E4ECF"/>
    <w:rPr>
      <w:rFonts w:ascii="Times New Roman" w:hAnsi="Times New Roman" w:cs="Times New Roman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1E4ECF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1E4E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51changxi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1331</Characters>
  <Application>Microsoft Office Word</Application>
  <DocSecurity>4</DocSecurity>
  <Lines>11</Lines>
  <Paragraphs>3</Paragraphs>
  <ScaleCrop>false</ScaleCrop>
  <Company>微软中国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2023-12-20T16:01:00Z</dcterms:created>
  <dcterms:modified xsi:type="dcterms:W3CDTF">2023-12-20T16:01:00Z</dcterms:modified>
</cp:coreProperties>
</file>