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4F4A21" w:rsidRDefault="004F4A21" w:rsidP="004F4A21">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根据《公开募集证券投资基金运作管理办法》《公开募集证券投资基金信息披露管理办法》</w:t>
      </w:r>
      <w:r w:rsidRPr="008A4E6F">
        <w:rPr>
          <w:rFonts w:ascii="Times New Roman" w:eastAsiaTheme="minorEastAsia" w:hAnsiTheme="minorEastAsia" w:cs="Times New Roman" w:hint="eastAsia"/>
          <w:color w:val="auto"/>
          <w:kern w:val="2"/>
        </w:rPr>
        <w:t>及相关法律法规、各基金</w:t>
      </w:r>
      <w:r w:rsidRPr="00B52BD6">
        <w:rPr>
          <w:rFonts w:ascii="Times New Roman" w:eastAsiaTheme="minorEastAsia" w:hAnsiTheme="minorEastAsia" w:cs="Times New Roman"/>
          <w:color w:val="auto"/>
          <w:kern w:val="2"/>
        </w:rPr>
        <w:t>基金合同</w:t>
      </w:r>
      <w:r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Pr="008A4E6F">
        <w:rPr>
          <w:rFonts w:ascii="Times New Roman" w:eastAsiaTheme="minorEastAsia" w:hAnsiTheme="minorEastAsia" w:cs="Times New Roman" w:hint="eastAsia"/>
          <w:color w:val="auto"/>
          <w:kern w:val="2"/>
        </w:rPr>
        <w:t>在履行规定审批程序并经基金托管人同意后，</w:t>
      </w:r>
      <w:r w:rsidRPr="00182D9F">
        <w:rPr>
          <w:rFonts w:ascii="Times New Roman" w:eastAsiaTheme="minorEastAsia" w:hAnsiTheme="minorEastAsia" w:cs="Times New Roman"/>
          <w:color w:val="000000" w:themeColor="text1"/>
          <w:kern w:val="2"/>
        </w:rPr>
        <w:t>华夏基金管理有限公司（以下简称</w:t>
      </w:r>
      <w:r w:rsidRPr="002D116C">
        <w:rPr>
          <w:rFonts w:asciiTheme="minorEastAsia" w:eastAsiaTheme="minorEastAsia" w:hAnsiTheme="minorEastAsia" w:cs="Times New Roman"/>
          <w:color w:val="000000" w:themeColor="text1"/>
          <w:kern w:val="2"/>
        </w:rPr>
        <w:t>“本公司”</w:t>
      </w:r>
      <w:r w:rsidRPr="00182D9F">
        <w:rPr>
          <w:rFonts w:ascii="Times New Roman" w:eastAsiaTheme="minorEastAsia" w:hAnsiTheme="minorEastAsia" w:cs="Times New Roman"/>
          <w:color w:val="000000" w:themeColor="text1"/>
          <w:kern w:val="2"/>
        </w:rPr>
        <w:t>）旗下部分公募基金</w:t>
      </w:r>
      <w:r>
        <w:rPr>
          <w:rFonts w:ascii="Times New Roman" w:eastAsiaTheme="minorEastAsia" w:hAnsiTheme="minorEastAsia" w:cs="Times New Roman" w:hint="eastAsia"/>
          <w:color w:val="000000" w:themeColor="text1"/>
          <w:kern w:val="2"/>
        </w:rPr>
        <w:t>参与了</w:t>
      </w:r>
      <w:r w:rsidR="00C95A4E" w:rsidRPr="00C95A4E">
        <w:rPr>
          <w:rFonts w:ascii="Times New Roman" w:eastAsiaTheme="minorEastAsia" w:hAnsiTheme="minorEastAsia" w:cs="Times New Roman" w:hint="eastAsia"/>
          <w:color w:val="000000" w:themeColor="text1"/>
          <w:kern w:val="2"/>
        </w:rPr>
        <w:t>宏盛华源铁塔集团股份有限公司</w:t>
      </w:r>
      <w:r w:rsidRPr="001854D6">
        <w:rPr>
          <w:rFonts w:ascii="Times New Roman" w:eastAsiaTheme="minorEastAsia" w:hAnsiTheme="minorEastAsia" w:cs="Times New Roman" w:hint="eastAsia"/>
          <w:color w:val="auto"/>
          <w:kern w:val="2"/>
        </w:rPr>
        <w:t>（以</w:t>
      </w:r>
      <w:r>
        <w:rPr>
          <w:rFonts w:ascii="Times New Roman" w:eastAsiaTheme="minorEastAsia" w:hAnsiTheme="minorEastAsia" w:cs="Times New Roman" w:hint="eastAsia"/>
          <w:color w:val="000000" w:themeColor="text1"/>
          <w:kern w:val="2"/>
        </w:rPr>
        <w:t>下简称“</w:t>
      </w:r>
      <w:r w:rsidR="00C95A4E" w:rsidRPr="00C95A4E">
        <w:rPr>
          <w:rFonts w:ascii="Times New Roman" w:eastAsiaTheme="minorEastAsia" w:hAnsiTheme="minorEastAsia" w:cs="Times New Roman" w:hint="eastAsia"/>
          <w:color w:val="000000" w:themeColor="text1"/>
          <w:kern w:val="2"/>
        </w:rPr>
        <w:t>宏盛华源</w:t>
      </w:r>
      <w:r>
        <w:rPr>
          <w:rFonts w:ascii="Times New Roman" w:eastAsiaTheme="minorEastAsia" w:hAnsiTheme="minorEastAsia" w:cs="Times New Roman" w:hint="eastAsia"/>
          <w:color w:val="000000" w:themeColor="text1"/>
          <w:kern w:val="2"/>
        </w:rPr>
        <w:t>”）</w:t>
      </w:r>
      <w:r>
        <w:rPr>
          <w:rFonts w:asciiTheme="minorEastAsia" w:eastAsiaTheme="minorEastAsia" w:hAnsiTheme="minorEastAsia" w:cs="Times New Roman" w:hint="eastAsia"/>
          <w:color w:val="auto"/>
          <w:kern w:val="2"/>
        </w:rPr>
        <w:t>首次公开发行</w:t>
      </w:r>
      <w:r w:rsidRPr="00182D9F">
        <w:rPr>
          <w:rFonts w:ascii="Times New Roman" w:eastAsiaTheme="minorEastAsia" w:hAnsiTheme="minorEastAsia" w:cs="Times New Roman"/>
          <w:color w:val="000000" w:themeColor="text1"/>
          <w:kern w:val="2"/>
        </w:rPr>
        <w:t>人民币普通股（</w:t>
      </w:r>
      <w:r w:rsidRPr="00182D9F">
        <w:rPr>
          <w:rFonts w:ascii="Times New Roman" w:eastAsiaTheme="minorEastAsia" w:cs="Times New Roman"/>
          <w:color w:val="000000" w:themeColor="text1"/>
          <w:kern w:val="2"/>
        </w:rPr>
        <w:t>A</w:t>
      </w:r>
      <w:r w:rsidRPr="00182D9F">
        <w:rPr>
          <w:rFonts w:ascii="Times New Roman" w:eastAsiaTheme="minorEastAsia" w:hAnsiTheme="minorEastAsia" w:cs="Times New Roman"/>
          <w:color w:val="000000" w:themeColor="text1"/>
          <w:kern w:val="2"/>
        </w:rPr>
        <w:t>股）</w:t>
      </w:r>
      <w:r w:rsidR="00970C06">
        <w:rPr>
          <w:rFonts w:ascii="Times New Roman" w:eastAsiaTheme="minorEastAsia" w:hAnsiTheme="minorEastAsia" w:cs="Times New Roman"/>
          <w:color w:val="000000" w:themeColor="text1"/>
          <w:kern w:val="2"/>
        </w:rPr>
        <w:t>的网上</w:t>
      </w:r>
      <w:r>
        <w:rPr>
          <w:rFonts w:ascii="Times New Roman" w:eastAsiaTheme="minorEastAsia" w:hAnsiTheme="minorEastAsia" w:cs="Times New Roman"/>
          <w:color w:val="000000" w:themeColor="text1"/>
          <w:kern w:val="2"/>
        </w:rPr>
        <w:t>申购</w:t>
      </w:r>
      <w:r>
        <w:rPr>
          <w:rFonts w:ascii="Times New Roman" w:eastAsiaTheme="minorEastAsia" w:hAnsiTheme="minorEastAsia" w:cs="Times New Roman" w:hint="eastAsia"/>
          <w:color w:val="000000" w:themeColor="text1"/>
          <w:kern w:val="2"/>
        </w:rPr>
        <w:t>。</w:t>
      </w:r>
      <w:r w:rsidR="00C95A4E" w:rsidRPr="00C95A4E">
        <w:rPr>
          <w:rFonts w:ascii="Times New Roman" w:eastAsiaTheme="minorEastAsia" w:hAnsiTheme="minorEastAsia" w:cs="Times New Roman" w:hint="eastAsia"/>
          <w:color w:val="000000" w:themeColor="text1"/>
          <w:kern w:val="2"/>
        </w:rPr>
        <w:t>宏盛华源</w:t>
      </w:r>
      <w:r>
        <w:rPr>
          <w:rFonts w:ascii="Times New Roman" w:eastAsiaTheme="minorEastAsia" w:hAnsiTheme="minorEastAsia" w:cs="Times New Roman" w:hint="eastAsia"/>
          <w:color w:val="000000" w:themeColor="text1"/>
          <w:kern w:val="2"/>
        </w:rPr>
        <w:t>本次发行的</w:t>
      </w:r>
      <w:r w:rsidRPr="00976AFF">
        <w:rPr>
          <w:rFonts w:ascii="Times New Roman" w:eastAsiaTheme="minorEastAsia" w:hAnsiTheme="minorEastAsia" w:cs="Times New Roman" w:hint="eastAsia"/>
          <w:color w:val="auto"/>
          <w:kern w:val="2"/>
        </w:rPr>
        <w:t>保荐</w:t>
      </w:r>
      <w:r>
        <w:rPr>
          <w:rFonts w:ascii="Times New Roman" w:eastAsiaTheme="minorEastAsia" w:hAnsiTheme="minorEastAsia" w:cs="Times New Roman" w:hint="eastAsia"/>
          <w:color w:val="auto"/>
          <w:kern w:val="2"/>
        </w:rPr>
        <w:t>人</w:t>
      </w:r>
      <w:r w:rsidRPr="00976AFF">
        <w:rPr>
          <w:rFonts w:ascii="Times New Roman" w:eastAsiaTheme="minorEastAsia" w:hAnsiTheme="minorEastAsia" w:cs="Times New Roman" w:hint="eastAsia"/>
          <w:color w:val="auto"/>
          <w:kern w:val="2"/>
        </w:rPr>
        <w:t>（主承销商）</w:t>
      </w:r>
      <w:r w:rsidRPr="00EC6C3A">
        <w:rPr>
          <w:rFonts w:ascii="Times New Roman" w:eastAsiaTheme="minorEastAsia" w:hAnsiTheme="minorEastAsia" w:cs="Times New Roman" w:hint="eastAsia"/>
          <w:color w:val="auto"/>
          <w:kern w:val="2"/>
        </w:rPr>
        <w:t>中银国际证券股份有限公司</w:t>
      </w:r>
      <w:r>
        <w:rPr>
          <w:rFonts w:ascii="Times New Roman" w:eastAsiaTheme="minorEastAsia" w:hAnsiTheme="minorEastAsia" w:cs="Times New Roman" w:hint="eastAsia"/>
          <w:color w:val="auto"/>
          <w:kern w:val="2"/>
        </w:rPr>
        <w:t>为本公司旗下部分公募基金托管人中国银行股份有限公司</w:t>
      </w:r>
      <w:r w:rsidR="006D2B8E">
        <w:rPr>
          <w:rFonts w:ascii="Times New Roman" w:eastAsiaTheme="minorEastAsia" w:hAnsiTheme="minorEastAsia" w:cs="Times New Roman" w:hint="eastAsia"/>
          <w:color w:val="auto"/>
          <w:kern w:val="2"/>
        </w:rPr>
        <w:t>（以下简称“中国银行”）</w:t>
      </w:r>
      <w:r>
        <w:rPr>
          <w:rFonts w:ascii="Times New Roman" w:eastAsiaTheme="minorEastAsia" w:hAnsiTheme="minorEastAsia" w:cs="Times New Roman" w:hint="eastAsia"/>
          <w:color w:val="auto"/>
          <w:kern w:val="2"/>
        </w:rPr>
        <w:t>的重大关联方。</w:t>
      </w:r>
      <w:r w:rsidR="00C95A4E">
        <w:rPr>
          <w:rFonts w:eastAsiaTheme="minorEastAsia" w:hAnsiTheme="minorEastAsia" w:hint="eastAsia"/>
          <w:color w:val="000000" w:themeColor="text1"/>
        </w:rPr>
        <w:t>宏盛华源</w:t>
      </w:r>
      <w:r>
        <w:rPr>
          <w:rFonts w:ascii="Times New Roman" w:eastAsiaTheme="minorEastAsia" w:hAnsiTheme="minorEastAsia" w:cs="Times New Roman" w:hint="eastAsia"/>
          <w:color w:val="auto"/>
          <w:kern w:val="2"/>
        </w:rPr>
        <w:t>本次</w:t>
      </w:r>
      <w:r w:rsidRPr="00B52BD6">
        <w:rPr>
          <w:rFonts w:ascii="Times New Roman" w:eastAsiaTheme="minorEastAsia" w:hAnsiTheme="minorEastAsia" w:cs="Times New Roman"/>
        </w:rPr>
        <w:t>发行价格为人民币</w:t>
      </w:r>
      <w:r w:rsidR="00C95A4E" w:rsidRPr="00C95A4E">
        <w:rPr>
          <w:rFonts w:ascii="Times New Roman" w:eastAsiaTheme="minorEastAsia" w:cs="Times New Roman"/>
        </w:rPr>
        <w:t>1.70</w:t>
      </w:r>
      <w:r w:rsidRPr="00EA62D5">
        <w:rPr>
          <w:rFonts w:ascii="Times New Roman" w:eastAsiaTheme="minorEastAsia" w:cs="Times New Roman" w:hint="eastAsia"/>
        </w:rPr>
        <w:t>元</w:t>
      </w:r>
      <w:r w:rsidRPr="00EA62D5">
        <w:rPr>
          <w:rFonts w:ascii="Times New Roman" w:eastAsiaTheme="minorEastAsia" w:cs="Times New Roman" w:hint="eastAsia"/>
        </w:rPr>
        <w:t>/</w:t>
      </w:r>
      <w:r w:rsidRPr="00EA62D5">
        <w:rPr>
          <w:rFonts w:ascii="Times New Roman" w:eastAsiaTheme="minorEastAsia" w:cs="Times New Roman" w:hint="eastAsia"/>
        </w:rPr>
        <w:t>股</w:t>
      </w:r>
      <w:r w:rsidRPr="00B52BD6">
        <w:rPr>
          <w:rFonts w:ascii="Times New Roman" w:eastAsiaTheme="minorEastAsia" w:hAnsiTheme="minorEastAsia" w:cs="Times New Roman"/>
        </w:rPr>
        <w:t>，</w:t>
      </w:r>
      <w:r>
        <w:rPr>
          <w:rFonts w:ascii="Times New Roman" w:eastAsiaTheme="minorEastAsia" w:hAnsiTheme="minorEastAsia" w:cs="Times New Roman"/>
        </w:rPr>
        <w:t>由</w:t>
      </w:r>
      <w:r w:rsidR="00C95A4E" w:rsidRPr="00C95A4E">
        <w:rPr>
          <w:rFonts w:ascii="Times New Roman" w:eastAsiaTheme="minorEastAsia" w:hAnsiTheme="minorEastAsia" w:cs="Times New Roman" w:hint="eastAsia"/>
        </w:rPr>
        <w:t>发行人与保荐人（主承销商）根据网下发行询价报价情况，综合评估公司合理投资价值、可比公司二级市场估值水平、所属行业二级市场估值水平等方面，充分考虑网下投资者有效申购倍数、市场情况、募集资金需求及承销风险等因素协商确定</w:t>
      </w:r>
      <w:r w:rsidRPr="00B52BD6">
        <w:rPr>
          <w:rFonts w:ascii="Times New Roman" w:eastAsiaTheme="minorEastAsia" w:hAnsiTheme="minorEastAsia" w:cs="Times New Roman"/>
        </w:rPr>
        <w:t>。本公司旗下</w:t>
      </w:r>
      <w:r w:rsidR="006D2B8E">
        <w:rPr>
          <w:rFonts w:ascii="Times New Roman" w:eastAsiaTheme="minorEastAsia" w:hAnsiTheme="minorEastAsia" w:cs="Times New Roman"/>
        </w:rPr>
        <w:t>中国银行托管的</w:t>
      </w:r>
      <w:r>
        <w:rPr>
          <w:rFonts w:ascii="Times New Roman" w:eastAsiaTheme="minorEastAsia" w:hAnsiTheme="minorEastAsia" w:cs="Times New Roman"/>
        </w:rPr>
        <w:t>部分</w:t>
      </w:r>
      <w:r w:rsidRPr="00B52BD6">
        <w:rPr>
          <w:rFonts w:ascii="Times New Roman" w:eastAsiaTheme="minorEastAsia" w:hAnsiTheme="minorEastAsia" w:cs="Times New Roman"/>
        </w:rPr>
        <w:t>公募基金参与</w:t>
      </w:r>
      <w:r w:rsidR="00C95A4E">
        <w:rPr>
          <w:rFonts w:eastAsiaTheme="minorEastAsia" w:hAnsiTheme="minorEastAsia" w:hint="eastAsia"/>
          <w:color w:val="000000" w:themeColor="text1"/>
        </w:rPr>
        <w:t>宏盛华源</w:t>
      </w:r>
      <w:r w:rsidRPr="00B52BD6">
        <w:rPr>
          <w:rFonts w:ascii="Times New Roman" w:eastAsiaTheme="minorEastAsia" w:hAnsiTheme="minorEastAsia" w:cs="Times New Roman"/>
        </w:rPr>
        <w:t>本次发行</w:t>
      </w:r>
      <w:r w:rsidRPr="00B52BD6">
        <w:rPr>
          <w:rFonts w:ascii="Times New Roman" w:eastAsiaTheme="minorEastAsia" w:hAnsiTheme="minorEastAsia" w:cs="Times New Roman"/>
          <w:color w:val="auto"/>
          <w:kern w:val="2"/>
        </w:rPr>
        <w:t>网</w:t>
      </w:r>
      <w:r w:rsidR="00970C06">
        <w:rPr>
          <w:rFonts w:ascii="Times New Roman" w:eastAsiaTheme="minorEastAsia" w:hAnsiTheme="minorEastAsia" w:cs="Times New Roman" w:hint="eastAsia"/>
          <w:color w:val="auto"/>
          <w:kern w:val="2"/>
        </w:rPr>
        <w:t>上</w:t>
      </w:r>
      <w:r w:rsidRPr="00B52BD6">
        <w:rPr>
          <w:rFonts w:ascii="Times New Roman" w:eastAsiaTheme="minorEastAsia" w:hAnsiTheme="minorEastAsia" w:cs="Times New Roman"/>
          <w:color w:val="auto"/>
          <w:kern w:val="2"/>
        </w:rPr>
        <w:t>申购</w:t>
      </w:r>
      <w:r>
        <w:rPr>
          <w:rFonts w:ascii="Times New Roman" w:eastAsiaTheme="minorEastAsia" w:hAnsiTheme="minorEastAsia" w:cs="Times New Roman" w:hint="eastAsia"/>
          <w:color w:val="auto"/>
          <w:kern w:val="2"/>
        </w:rPr>
        <w:t>的相关信息</w:t>
      </w:r>
      <w:r w:rsidRPr="00B52BD6">
        <w:rPr>
          <w:rFonts w:ascii="Times New Roman" w:eastAsiaTheme="minorEastAsia" w:hAnsiTheme="minorEastAsia" w:cs="Times New Roman"/>
        </w:rPr>
        <w:t>如下：</w:t>
      </w:r>
    </w:p>
    <w:tbl>
      <w:tblPr>
        <w:tblW w:w="54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5"/>
        <w:gridCol w:w="1134"/>
        <w:gridCol w:w="1134"/>
        <w:gridCol w:w="1075"/>
      </w:tblGrid>
      <w:tr w:rsidR="00C95A4E" w:rsidRPr="00970C06" w:rsidTr="004E4F6D">
        <w:trPr>
          <w:trHeight w:val="20"/>
        </w:trPr>
        <w:tc>
          <w:tcPr>
            <w:tcW w:w="3202" w:type="pct"/>
            <w:shd w:val="clear" w:color="auto" w:fill="auto"/>
            <w:noWrap/>
            <w:vAlign w:val="center"/>
            <w:hideMark/>
          </w:tcPr>
          <w:p w:rsidR="00C95A4E" w:rsidRPr="00970C06" w:rsidRDefault="00C95A4E" w:rsidP="00C95A4E">
            <w:pPr>
              <w:jc w:val="center"/>
              <w:rPr>
                <w:rFonts w:eastAsiaTheme="minorEastAsia"/>
                <w:szCs w:val="21"/>
              </w:rPr>
            </w:pPr>
            <w:r w:rsidRPr="00970C06">
              <w:rPr>
                <w:rFonts w:eastAsiaTheme="minorEastAsia" w:hAnsiTheme="minorEastAsia"/>
                <w:szCs w:val="21"/>
              </w:rPr>
              <w:t>基金名称</w:t>
            </w:r>
          </w:p>
        </w:tc>
        <w:tc>
          <w:tcPr>
            <w:tcW w:w="610" w:type="pct"/>
            <w:shd w:val="clear" w:color="auto" w:fill="auto"/>
            <w:noWrap/>
            <w:vAlign w:val="center"/>
            <w:hideMark/>
          </w:tcPr>
          <w:p w:rsidR="00C95A4E" w:rsidRPr="00970C06" w:rsidRDefault="00C95A4E" w:rsidP="00C95A4E">
            <w:pPr>
              <w:jc w:val="center"/>
              <w:rPr>
                <w:rFonts w:eastAsiaTheme="minorEastAsia"/>
                <w:szCs w:val="21"/>
              </w:rPr>
            </w:pPr>
            <w:r w:rsidRPr="00970C06">
              <w:rPr>
                <w:rFonts w:eastAsiaTheme="minorEastAsia" w:hAnsiTheme="minorEastAsia"/>
                <w:szCs w:val="21"/>
              </w:rPr>
              <w:t>获配证券</w:t>
            </w:r>
          </w:p>
          <w:p w:rsidR="00C95A4E" w:rsidRPr="00970C06" w:rsidRDefault="00C95A4E" w:rsidP="00C95A4E">
            <w:pPr>
              <w:jc w:val="center"/>
              <w:rPr>
                <w:rFonts w:eastAsiaTheme="minorEastAsia"/>
                <w:szCs w:val="21"/>
              </w:rPr>
            </w:pPr>
            <w:r w:rsidRPr="00970C06">
              <w:rPr>
                <w:rFonts w:eastAsiaTheme="minorEastAsia" w:hAnsiTheme="minorEastAsia"/>
                <w:szCs w:val="21"/>
              </w:rPr>
              <w:t>名称</w:t>
            </w:r>
          </w:p>
        </w:tc>
        <w:tc>
          <w:tcPr>
            <w:tcW w:w="610" w:type="pct"/>
            <w:shd w:val="clear" w:color="auto" w:fill="auto"/>
            <w:vAlign w:val="center"/>
            <w:hideMark/>
          </w:tcPr>
          <w:p w:rsidR="00C95A4E" w:rsidRPr="00970C06" w:rsidRDefault="00C95A4E" w:rsidP="00C95A4E">
            <w:pPr>
              <w:jc w:val="center"/>
              <w:rPr>
                <w:rFonts w:eastAsiaTheme="minorEastAsia"/>
                <w:szCs w:val="21"/>
              </w:rPr>
            </w:pPr>
            <w:r w:rsidRPr="00970C06">
              <w:rPr>
                <w:rFonts w:eastAsiaTheme="minorEastAsia" w:hAnsiTheme="minorEastAsia"/>
                <w:szCs w:val="21"/>
              </w:rPr>
              <w:t>获配数量</w:t>
            </w:r>
          </w:p>
          <w:p w:rsidR="00C95A4E" w:rsidRPr="00970C06" w:rsidRDefault="00C95A4E" w:rsidP="00C95A4E">
            <w:pPr>
              <w:jc w:val="center"/>
              <w:rPr>
                <w:rFonts w:eastAsiaTheme="minorEastAsia"/>
                <w:szCs w:val="21"/>
              </w:rPr>
            </w:pPr>
            <w:r w:rsidRPr="00970C06">
              <w:rPr>
                <w:rFonts w:eastAsiaTheme="minorEastAsia" w:hAnsiTheme="minorEastAsia"/>
                <w:szCs w:val="21"/>
              </w:rPr>
              <w:t>（股）</w:t>
            </w:r>
          </w:p>
        </w:tc>
        <w:tc>
          <w:tcPr>
            <w:tcW w:w="578" w:type="pct"/>
            <w:shd w:val="clear" w:color="auto" w:fill="auto"/>
            <w:vAlign w:val="center"/>
            <w:hideMark/>
          </w:tcPr>
          <w:p w:rsidR="00C95A4E" w:rsidRPr="00970C06" w:rsidRDefault="00C95A4E" w:rsidP="00C95A4E">
            <w:pPr>
              <w:jc w:val="center"/>
              <w:rPr>
                <w:rFonts w:eastAsiaTheme="minorEastAsia"/>
                <w:szCs w:val="21"/>
              </w:rPr>
            </w:pPr>
            <w:r w:rsidRPr="00970C06">
              <w:rPr>
                <w:rFonts w:eastAsiaTheme="minorEastAsia" w:hAnsiTheme="minorEastAsia"/>
                <w:szCs w:val="21"/>
              </w:rPr>
              <w:t>获配金额</w:t>
            </w:r>
          </w:p>
          <w:p w:rsidR="00C95A4E" w:rsidRPr="00970C06" w:rsidRDefault="00C95A4E" w:rsidP="00C95A4E">
            <w:pPr>
              <w:jc w:val="center"/>
              <w:rPr>
                <w:rFonts w:eastAsiaTheme="minorEastAsia"/>
                <w:szCs w:val="21"/>
              </w:rPr>
            </w:pPr>
            <w:r w:rsidRPr="00970C06">
              <w:rPr>
                <w:rFonts w:eastAsiaTheme="minorEastAsia" w:hAnsiTheme="minorEastAsia"/>
                <w:szCs w:val="21"/>
              </w:rPr>
              <w:t>（元）</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华夏中证沪港深</w:t>
            </w:r>
            <w:r w:rsidRPr="00970C06">
              <w:rPr>
                <w:rFonts w:eastAsiaTheme="minorEastAsia"/>
                <w:color w:val="000000"/>
                <w:szCs w:val="21"/>
              </w:rPr>
              <w:t>500</w:t>
            </w:r>
            <w:r w:rsidRPr="00970C06">
              <w:rPr>
                <w:rFonts w:eastAsiaTheme="minorEastAsia" w:hAnsiTheme="minorEastAsia"/>
                <w:color w:val="000000"/>
                <w:szCs w:val="21"/>
              </w:rPr>
              <w:t>交易型开放式指数证券投资基金</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500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850</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华夏中证新能源交易型开放式指数证券投资基金</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500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850</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华夏中证云计算与大数据主题交易型开放式指数证券投资基金</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500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850</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华夏中证装备产业交易型开放式指数证券投资基金</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500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850</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华夏中证大数据产业交易型开放式指数证券投资基金</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500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850</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华夏磐晟灵活配置混合型证券投资基金（</w:t>
            </w:r>
            <w:r w:rsidRPr="00970C06">
              <w:rPr>
                <w:rFonts w:eastAsiaTheme="minorEastAsia"/>
                <w:color w:val="000000"/>
                <w:szCs w:val="21"/>
              </w:rPr>
              <w:t>LOF</w:t>
            </w:r>
            <w:r w:rsidRPr="00970C06">
              <w:rPr>
                <w:rFonts w:eastAsiaTheme="minorEastAsia" w:hAnsiTheme="minorEastAsia"/>
                <w:color w:val="000000"/>
                <w:szCs w:val="21"/>
              </w:rPr>
              <w:t>）</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500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850</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华夏中证人工智能主题交易型开放式指数证券投资基金发起式联接基金</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500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850</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华夏中证全指房地产交易型开放式指数证券投资基金发起式联接基金</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500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850</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华夏中证</w:t>
            </w:r>
            <w:r w:rsidRPr="00970C06">
              <w:rPr>
                <w:rFonts w:eastAsiaTheme="minorEastAsia"/>
                <w:color w:val="000000"/>
                <w:szCs w:val="21"/>
              </w:rPr>
              <w:t>5G</w:t>
            </w:r>
            <w:r w:rsidRPr="00970C06">
              <w:rPr>
                <w:rFonts w:eastAsiaTheme="minorEastAsia" w:hAnsiTheme="minorEastAsia"/>
                <w:color w:val="000000"/>
                <w:szCs w:val="21"/>
              </w:rPr>
              <w:t>通信主题交易型开放式指数证券投资基金发起式联接基金</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1,000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1,700.00</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华夏鼎沛债券型证券投资基金</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500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850</w:t>
            </w:r>
          </w:p>
        </w:tc>
      </w:tr>
      <w:tr w:rsidR="00970C06" w:rsidRPr="00970C06" w:rsidTr="004E4F6D">
        <w:trPr>
          <w:trHeight w:val="20"/>
        </w:trPr>
        <w:tc>
          <w:tcPr>
            <w:tcW w:w="3202" w:type="pct"/>
            <w:shd w:val="clear" w:color="auto" w:fill="auto"/>
            <w:noWrap/>
            <w:vAlign w:val="center"/>
            <w:hideMark/>
          </w:tcPr>
          <w:p w:rsidR="00970C06" w:rsidRPr="00970C06" w:rsidRDefault="00970C06">
            <w:pPr>
              <w:rPr>
                <w:rFonts w:eastAsiaTheme="minorEastAsia"/>
                <w:color w:val="000000"/>
                <w:szCs w:val="21"/>
              </w:rPr>
            </w:pPr>
            <w:r w:rsidRPr="00970C06">
              <w:rPr>
                <w:rFonts w:eastAsiaTheme="minorEastAsia" w:hAnsiTheme="minorEastAsia"/>
                <w:color w:val="000000"/>
                <w:szCs w:val="21"/>
              </w:rPr>
              <w:t>华夏安康信用优选债券型证券投资基金</w:t>
            </w:r>
          </w:p>
        </w:tc>
        <w:tc>
          <w:tcPr>
            <w:tcW w:w="610" w:type="pct"/>
            <w:shd w:val="clear" w:color="auto" w:fill="auto"/>
            <w:noWrap/>
            <w:vAlign w:val="center"/>
            <w:hideMark/>
          </w:tcPr>
          <w:p w:rsidR="00970C06" w:rsidRPr="00970C06" w:rsidRDefault="00970C06" w:rsidP="00C95A4E">
            <w:pPr>
              <w:rPr>
                <w:rFonts w:eastAsiaTheme="minorEastAsia"/>
                <w:szCs w:val="21"/>
              </w:rPr>
            </w:pPr>
            <w:r w:rsidRPr="00970C06">
              <w:rPr>
                <w:rFonts w:eastAsiaTheme="minorEastAsia" w:hAnsiTheme="minorEastAsia"/>
                <w:szCs w:val="21"/>
              </w:rPr>
              <w:t>宏盛华源</w:t>
            </w:r>
          </w:p>
        </w:tc>
        <w:tc>
          <w:tcPr>
            <w:tcW w:w="610"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500</w:t>
            </w:r>
          </w:p>
        </w:tc>
        <w:tc>
          <w:tcPr>
            <w:tcW w:w="578" w:type="pct"/>
            <w:shd w:val="clear" w:color="auto" w:fill="auto"/>
            <w:vAlign w:val="center"/>
            <w:hideMark/>
          </w:tcPr>
          <w:p w:rsidR="00970C06" w:rsidRPr="00970C06" w:rsidRDefault="00970C06">
            <w:pPr>
              <w:jc w:val="right"/>
              <w:rPr>
                <w:rFonts w:eastAsiaTheme="minorEastAsia"/>
                <w:color w:val="000000"/>
                <w:szCs w:val="21"/>
              </w:rPr>
            </w:pPr>
            <w:r w:rsidRPr="00970C06">
              <w:rPr>
                <w:rFonts w:eastAsiaTheme="minorEastAsia"/>
                <w:color w:val="000000"/>
                <w:szCs w:val="21"/>
              </w:rPr>
              <w:t>850</w:t>
            </w:r>
          </w:p>
        </w:tc>
      </w:tr>
    </w:tbl>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bookmarkStart w:id="0" w:name="_GoBack"/>
      <w:bookmarkEnd w:id="0"/>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4F4A21">
        <w:rPr>
          <w:rFonts w:ascii="宋体" w:hAnsi="宋体" w:hint="eastAsia"/>
          <w:color w:val="000000"/>
          <w:sz w:val="24"/>
        </w:rPr>
        <w:t>三</w:t>
      </w:r>
      <w:r w:rsidR="002C2308" w:rsidRPr="00B52BD6">
        <w:rPr>
          <w:rFonts w:ascii="宋体" w:hAnsi="宋体"/>
          <w:color w:val="000000"/>
          <w:sz w:val="24"/>
        </w:rPr>
        <w:t>年</w:t>
      </w:r>
      <w:r w:rsidR="00C95A4E">
        <w:rPr>
          <w:rFonts w:ascii="宋体" w:hAnsi="宋体" w:hint="eastAsia"/>
          <w:color w:val="000000"/>
          <w:sz w:val="24"/>
        </w:rPr>
        <w:t>十二</w:t>
      </w:r>
      <w:r w:rsidR="002C2308" w:rsidRPr="00B52BD6">
        <w:rPr>
          <w:rFonts w:hAnsi="宋体"/>
          <w:color w:val="000000"/>
          <w:sz w:val="24"/>
        </w:rPr>
        <w:t>月</w:t>
      </w:r>
      <w:r w:rsidR="00970C06">
        <w:rPr>
          <w:rFonts w:hAnsi="宋体" w:hint="eastAsia"/>
          <w:color w:val="000000"/>
          <w:sz w:val="24"/>
        </w:rPr>
        <w:t>二十</w:t>
      </w:r>
      <w:r w:rsidR="002C2308" w:rsidRPr="00B52BD6">
        <w:rPr>
          <w:rFonts w:hAnsi="宋体"/>
          <w:color w:val="000000"/>
          <w:sz w:val="24"/>
        </w:rPr>
        <w:t>日</w:t>
      </w:r>
    </w:p>
    <w:sectPr w:rsidR="00624130" w:rsidRPr="00BE18ED" w:rsidSect="00126D65">
      <w:headerReference w:type="even" r:id="rId8"/>
      <w:headerReference w:type="default" r:id="rId9"/>
      <w:footerReference w:type="even" r:id="rId10"/>
      <w:footerReference w:type="default" r:id="rId11"/>
      <w:pgSz w:w="11906" w:h="16838" w:code="9"/>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DC" w:rsidRDefault="000424DC">
      <w:r>
        <w:separator/>
      </w:r>
    </w:p>
  </w:endnote>
  <w:endnote w:type="continuationSeparator" w:id="0">
    <w:p w:rsidR="000424DC" w:rsidRDefault="0004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427970" w:rsidP="005B461D">
    <w:pPr>
      <w:pStyle w:val="a4"/>
      <w:framePr w:wrap="around" w:vAnchor="text" w:hAnchor="margin" w:xAlign="center" w:y="1"/>
      <w:rPr>
        <w:rStyle w:val="a5"/>
      </w:rPr>
    </w:pPr>
    <w:r>
      <w:rPr>
        <w:rStyle w:val="a5"/>
      </w:rPr>
      <w:fldChar w:fldCharType="begin"/>
    </w:r>
    <w:r w:rsidR="00AA6783">
      <w:rPr>
        <w:rStyle w:val="a5"/>
      </w:rPr>
      <w:instrText xml:space="preserve">PAGE  </w:instrText>
    </w:r>
    <w:r>
      <w:rPr>
        <w:rStyle w:val="a5"/>
      </w:rPr>
      <w:fldChar w:fldCharType="end"/>
    </w:r>
  </w:p>
  <w:p w:rsidR="00AA6783" w:rsidRDefault="00AA67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427970" w:rsidP="000933A1">
    <w:pPr>
      <w:pStyle w:val="a4"/>
      <w:jc w:val="center"/>
    </w:pPr>
    <w:r w:rsidRPr="00427970">
      <w:fldChar w:fldCharType="begin"/>
    </w:r>
    <w:r w:rsidR="00AA6783">
      <w:instrText xml:space="preserve"> PAGE   \* MERGEFORMAT </w:instrText>
    </w:r>
    <w:r w:rsidRPr="00427970">
      <w:fldChar w:fldCharType="separate"/>
    </w:r>
    <w:r w:rsidR="003A6947" w:rsidRPr="003A6947">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DC" w:rsidRDefault="000424DC">
      <w:r>
        <w:separator/>
      </w:r>
    </w:p>
  </w:footnote>
  <w:footnote w:type="continuationSeparator" w:id="0">
    <w:p w:rsidR="000424DC" w:rsidRDefault="00042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AA6783"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AA6783"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24DC"/>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26D65"/>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87D3C"/>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A3E"/>
    <w:rsid w:val="001D2E06"/>
    <w:rsid w:val="001D4CDE"/>
    <w:rsid w:val="001D5B75"/>
    <w:rsid w:val="001E35F9"/>
    <w:rsid w:val="001E64FB"/>
    <w:rsid w:val="001F0B96"/>
    <w:rsid w:val="001F7306"/>
    <w:rsid w:val="002001F0"/>
    <w:rsid w:val="00200615"/>
    <w:rsid w:val="00203F2A"/>
    <w:rsid w:val="00207552"/>
    <w:rsid w:val="00215194"/>
    <w:rsid w:val="00216F3D"/>
    <w:rsid w:val="002171F8"/>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26F8"/>
    <w:rsid w:val="002D7033"/>
    <w:rsid w:val="002E0184"/>
    <w:rsid w:val="002E130C"/>
    <w:rsid w:val="002E232A"/>
    <w:rsid w:val="002E3EF0"/>
    <w:rsid w:val="002E67F8"/>
    <w:rsid w:val="002F13F3"/>
    <w:rsid w:val="002F2994"/>
    <w:rsid w:val="002F4329"/>
    <w:rsid w:val="002F662D"/>
    <w:rsid w:val="002F7333"/>
    <w:rsid w:val="002F766F"/>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6947"/>
    <w:rsid w:val="003A7326"/>
    <w:rsid w:val="003A7596"/>
    <w:rsid w:val="003B0005"/>
    <w:rsid w:val="003B1C62"/>
    <w:rsid w:val="003B514A"/>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48D4"/>
    <w:rsid w:val="003E4BBA"/>
    <w:rsid w:val="003E5CB0"/>
    <w:rsid w:val="003E7484"/>
    <w:rsid w:val="003E7CDD"/>
    <w:rsid w:val="003F1F23"/>
    <w:rsid w:val="003F4BEA"/>
    <w:rsid w:val="003F69F4"/>
    <w:rsid w:val="0040455D"/>
    <w:rsid w:val="00404A7C"/>
    <w:rsid w:val="004054A7"/>
    <w:rsid w:val="00411EAA"/>
    <w:rsid w:val="0041241D"/>
    <w:rsid w:val="00414407"/>
    <w:rsid w:val="004155AF"/>
    <w:rsid w:val="00425B0B"/>
    <w:rsid w:val="00425D09"/>
    <w:rsid w:val="00426433"/>
    <w:rsid w:val="00427970"/>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D50"/>
    <w:rsid w:val="004B67FC"/>
    <w:rsid w:val="004C62F8"/>
    <w:rsid w:val="004D29FF"/>
    <w:rsid w:val="004D4D07"/>
    <w:rsid w:val="004D55F1"/>
    <w:rsid w:val="004D7714"/>
    <w:rsid w:val="004E13F2"/>
    <w:rsid w:val="004E4E21"/>
    <w:rsid w:val="004E4F6D"/>
    <w:rsid w:val="004F0077"/>
    <w:rsid w:val="004F217A"/>
    <w:rsid w:val="004F33DC"/>
    <w:rsid w:val="004F4A21"/>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776C"/>
    <w:rsid w:val="005A105A"/>
    <w:rsid w:val="005A4092"/>
    <w:rsid w:val="005A54FF"/>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2B8E"/>
    <w:rsid w:val="006D3591"/>
    <w:rsid w:val="006D5A4B"/>
    <w:rsid w:val="006D5A70"/>
    <w:rsid w:val="006D6552"/>
    <w:rsid w:val="006D7AEB"/>
    <w:rsid w:val="006E0997"/>
    <w:rsid w:val="006E20B4"/>
    <w:rsid w:val="006E229E"/>
    <w:rsid w:val="006E4C77"/>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CE3"/>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E13"/>
    <w:rsid w:val="008F2F79"/>
    <w:rsid w:val="008F6648"/>
    <w:rsid w:val="008F6D42"/>
    <w:rsid w:val="009002BF"/>
    <w:rsid w:val="00900BEA"/>
    <w:rsid w:val="009027F1"/>
    <w:rsid w:val="00906414"/>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0C0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6E82"/>
    <w:rsid w:val="009D0385"/>
    <w:rsid w:val="009D1F42"/>
    <w:rsid w:val="009D3453"/>
    <w:rsid w:val="009D3EDA"/>
    <w:rsid w:val="009D4596"/>
    <w:rsid w:val="009D56DE"/>
    <w:rsid w:val="009D5A13"/>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0AE"/>
    <w:rsid w:val="00C03CD0"/>
    <w:rsid w:val="00C10562"/>
    <w:rsid w:val="00C11005"/>
    <w:rsid w:val="00C11FEA"/>
    <w:rsid w:val="00C13B94"/>
    <w:rsid w:val="00C15110"/>
    <w:rsid w:val="00C1549A"/>
    <w:rsid w:val="00C167D7"/>
    <w:rsid w:val="00C21230"/>
    <w:rsid w:val="00C2387D"/>
    <w:rsid w:val="00C25377"/>
    <w:rsid w:val="00C25492"/>
    <w:rsid w:val="00C26BA6"/>
    <w:rsid w:val="00C339C4"/>
    <w:rsid w:val="00C4491A"/>
    <w:rsid w:val="00C45A19"/>
    <w:rsid w:val="00C51B8E"/>
    <w:rsid w:val="00C55195"/>
    <w:rsid w:val="00C6217C"/>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5A4E"/>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14E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91015"/>
    <w:rsid w:val="00D91080"/>
    <w:rsid w:val="00D94D4B"/>
    <w:rsid w:val="00D97765"/>
    <w:rsid w:val="00DA59E1"/>
    <w:rsid w:val="00DA5C28"/>
    <w:rsid w:val="00DA6CA8"/>
    <w:rsid w:val="00DA7C11"/>
    <w:rsid w:val="00DB0CAA"/>
    <w:rsid w:val="00DB7940"/>
    <w:rsid w:val="00DC0D4D"/>
    <w:rsid w:val="00DC1652"/>
    <w:rsid w:val="00DC6AFA"/>
    <w:rsid w:val="00DD045E"/>
    <w:rsid w:val="00DD36B9"/>
    <w:rsid w:val="00DD6E53"/>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B62"/>
    <w:rsid w:val="00E963A6"/>
    <w:rsid w:val="00EB77D4"/>
    <w:rsid w:val="00EC232D"/>
    <w:rsid w:val="00EC6C3A"/>
    <w:rsid w:val="00ED1A2E"/>
    <w:rsid w:val="00ED1C28"/>
    <w:rsid w:val="00ED2832"/>
    <w:rsid w:val="00ED697D"/>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99185249">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49789586">
      <w:bodyDiv w:val="1"/>
      <w:marLeft w:val="0"/>
      <w:marRight w:val="0"/>
      <w:marTop w:val="0"/>
      <w:marBottom w:val="0"/>
      <w:divBdr>
        <w:top w:val="none" w:sz="0" w:space="0" w:color="auto"/>
        <w:left w:val="none" w:sz="0" w:space="0" w:color="auto"/>
        <w:bottom w:val="none" w:sz="0" w:space="0" w:color="auto"/>
        <w:right w:val="none" w:sz="0" w:space="0" w:color="auto"/>
      </w:divBdr>
    </w:div>
    <w:div w:id="683172822">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6048072">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09156286">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41097621">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896962552">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C2D4D-A32F-4B90-8341-48EC5207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4</DocSecurity>
  <Lines>6</Lines>
  <Paragraphs>1</Paragraphs>
  <ScaleCrop>false</ScaleCrop>
  <Company>CHINAAMC</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2023-12-19T16:03:00Z</dcterms:created>
  <dcterms:modified xsi:type="dcterms:W3CDTF">2023-12-19T16:03:00Z</dcterms:modified>
</cp:coreProperties>
</file>