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B8" w:rsidRDefault="00815AD3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7912B8" w:rsidRDefault="00815AD3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 w:rsidR="009F59E2">
        <w:rPr>
          <w:rFonts w:ascii="宋体" w:eastAsia="宋体" w:hAnsi="宋体" w:hint="eastAsia"/>
          <w:b/>
          <w:sz w:val="24"/>
          <w:szCs w:val="24"/>
        </w:rPr>
        <w:t>广发深证100指数证券投资基金（LOF）</w:t>
      </w:r>
      <w:r>
        <w:rPr>
          <w:rFonts w:ascii="宋体" w:eastAsia="宋体" w:hAnsi="宋体" w:hint="eastAsia"/>
          <w:b/>
          <w:sz w:val="24"/>
          <w:szCs w:val="24"/>
        </w:rPr>
        <w:t>恢复</w:t>
      </w:r>
      <w:r w:rsidR="00C91ADB">
        <w:rPr>
          <w:rFonts w:ascii="宋体" w:eastAsia="宋体" w:hAnsi="宋体" w:hint="eastAsia"/>
          <w:b/>
          <w:sz w:val="24"/>
          <w:szCs w:val="24"/>
        </w:rPr>
        <w:t>机构投资者</w:t>
      </w:r>
      <w:r w:rsidR="00204342">
        <w:rPr>
          <w:rFonts w:ascii="宋体" w:eastAsia="宋体" w:hAnsi="宋体" w:cs="Arial" w:hint="eastAsia"/>
          <w:b/>
          <w:bCs/>
          <w:sz w:val="24"/>
          <w:szCs w:val="28"/>
        </w:rPr>
        <w:t>大额</w:t>
      </w:r>
      <w:r>
        <w:rPr>
          <w:rFonts w:ascii="宋体" w:eastAsia="宋体" w:hAnsi="宋体" w:hint="eastAsia"/>
          <w:b/>
          <w:sz w:val="24"/>
          <w:szCs w:val="24"/>
        </w:rPr>
        <w:t>申购（含</w:t>
      </w:r>
      <w:r w:rsidRPr="00401457">
        <w:rPr>
          <w:rFonts w:ascii="宋体" w:eastAsia="宋体" w:hAnsi="宋体" w:hint="eastAsia"/>
          <w:b/>
          <w:sz w:val="24"/>
          <w:szCs w:val="24"/>
        </w:rPr>
        <w:t>转换转入、定期定额和不定额投资</w:t>
      </w:r>
      <w:r>
        <w:rPr>
          <w:rFonts w:ascii="宋体" w:eastAsia="宋体" w:hAnsi="宋体" w:hint="eastAsia"/>
          <w:b/>
          <w:sz w:val="24"/>
          <w:szCs w:val="24"/>
        </w:rPr>
        <w:t>）业务的公告</w:t>
      </w:r>
    </w:p>
    <w:p w:rsidR="007912B8" w:rsidRDefault="00815AD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公告送出日期：</w:t>
      </w:r>
      <w:r w:rsidR="000449C4">
        <w:rPr>
          <w:rFonts w:ascii="宋体" w:eastAsia="宋体" w:hAnsi="宋体"/>
          <w:sz w:val="24"/>
          <w:szCs w:val="24"/>
        </w:rPr>
        <w:t>2023年</w:t>
      </w:r>
      <w:r w:rsidR="00A33DA5">
        <w:rPr>
          <w:rFonts w:ascii="宋体" w:eastAsia="宋体" w:hAnsi="宋体"/>
          <w:sz w:val="24"/>
          <w:szCs w:val="24"/>
        </w:rPr>
        <w:t>12</w:t>
      </w:r>
      <w:r w:rsidR="000449C4">
        <w:rPr>
          <w:rFonts w:ascii="宋体" w:eastAsia="宋体" w:hAnsi="宋体"/>
          <w:sz w:val="24"/>
          <w:szCs w:val="24"/>
        </w:rPr>
        <w:t>月</w:t>
      </w:r>
      <w:r w:rsidR="009F59E2">
        <w:rPr>
          <w:rFonts w:ascii="宋体" w:eastAsia="宋体" w:hAnsi="宋体"/>
          <w:sz w:val="24"/>
          <w:szCs w:val="24"/>
        </w:rPr>
        <w:t>19</w:t>
      </w:r>
      <w:r w:rsidR="000449C4">
        <w:rPr>
          <w:rFonts w:ascii="宋体" w:eastAsia="宋体" w:hAnsi="宋体"/>
          <w:sz w:val="24"/>
          <w:szCs w:val="24"/>
        </w:rPr>
        <w:t>日</w:t>
      </w:r>
    </w:p>
    <w:p w:rsidR="007912B8" w:rsidRDefault="00815AD3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0" w:name="_Toc275961405"/>
      <w:r>
        <w:rPr>
          <w:rFonts w:ascii="宋体" w:eastAsia="宋体" w:hAnsi="宋体"/>
          <w:b/>
          <w:sz w:val="24"/>
          <w:szCs w:val="24"/>
        </w:rPr>
        <w:t>1</w:t>
      </w:r>
      <w:r w:rsidR="00BD04C6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公告基本信息</w:t>
      </w:r>
      <w:bookmarkEnd w:id="0"/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3686"/>
        <w:gridCol w:w="2752"/>
      </w:tblGrid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1" w:name="_Toc275961406"/>
            <w:r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438" w:type="dxa"/>
            <w:gridSpan w:val="2"/>
            <w:vAlign w:val="center"/>
          </w:tcPr>
          <w:p w:rsidR="00187ECC" w:rsidRDefault="009F59E2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广发深证100指数证券投资基金（LOF）</w:t>
            </w:r>
          </w:p>
        </w:tc>
      </w:tr>
      <w:tr w:rsidR="009F59E2" w:rsidTr="00766520">
        <w:trPr>
          <w:jc w:val="center"/>
        </w:trPr>
        <w:tc>
          <w:tcPr>
            <w:tcW w:w="2972" w:type="dxa"/>
          </w:tcPr>
          <w:p w:rsid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438" w:type="dxa"/>
            <w:gridSpan w:val="2"/>
          </w:tcPr>
          <w:p w:rsidR="009F59E2" w:rsidRP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59E2">
              <w:rPr>
                <w:rFonts w:ascii="宋体" w:eastAsia="宋体" w:hAnsi="宋体" w:hint="eastAsia"/>
                <w:sz w:val="24"/>
                <w:szCs w:val="24"/>
              </w:rPr>
              <w:t>广发深证100指数（LOF）</w:t>
            </w:r>
          </w:p>
        </w:tc>
      </w:tr>
      <w:tr w:rsidR="009F59E2" w:rsidTr="00110596">
        <w:trPr>
          <w:jc w:val="center"/>
        </w:trPr>
        <w:tc>
          <w:tcPr>
            <w:tcW w:w="2972" w:type="dxa"/>
          </w:tcPr>
          <w:p w:rsid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438" w:type="dxa"/>
            <w:gridSpan w:val="2"/>
          </w:tcPr>
          <w:p w:rsidR="009F59E2" w:rsidRP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59E2">
              <w:rPr>
                <w:rFonts w:ascii="宋体" w:eastAsia="宋体" w:hAnsi="宋体"/>
                <w:sz w:val="24"/>
                <w:szCs w:val="24"/>
              </w:rPr>
              <w:t>162714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438" w:type="dxa"/>
            <w:gridSpan w:val="2"/>
            <w:vAlign w:val="center"/>
          </w:tcPr>
          <w:p w:rsidR="00187ECC" w:rsidRDefault="00187ECC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广发基金管理有限公司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438" w:type="dxa"/>
            <w:gridSpan w:val="2"/>
            <w:vAlign w:val="center"/>
          </w:tcPr>
          <w:p w:rsidR="00187ECC" w:rsidRPr="00187ECC" w:rsidRDefault="00187ECC" w:rsidP="00187E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87ECC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F59E2">
              <w:rPr>
                <w:rFonts w:ascii="宋体" w:eastAsia="宋体" w:hAnsi="宋体" w:hint="eastAsia"/>
                <w:sz w:val="24"/>
                <w:szCs w:val="24"/>
              </w:rPr>
              <w:t>广发深证100指数证券投资基金（LOF）</w:t>
            </w:r>
            <w:r w:rsidRPr="00187ECC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87ECC" w:rsidRDefault="00187ECC" w:rsidP="00187E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87ECC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F59E2">
              <w:rPr>
                <w:rFonts w:ascii="宋体" w:eastAsia="宋体" w:hAnsi="宋体" w:hint="eastAsia"/>
                <w:sz w:val="24"/>
                <w:szCs w:val="24"/>
              </w:rPr>
              <w:t>广发深证100指数证券投资基金（LOF）</w:t>
            </w:r>
            <w:r w:rsidRPr="00187ECC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187ECC" w:rsidTr="00110596">
        <w:trPr>
          <w:trHeight w:val="488"/>
          <w:jc w:val="center"/>
        </w:trPr>
        <w:tc>
          <w:tcPr>
            <w:tcW w:w="2972" w:type="dxa"/>
            <w:vMerge w:val="restart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相关业务的</w:t>
            </w:r>
            <w:r w:rsidR="00113602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/>
                <w:sz w:val="24"/>
                <w:szCs w:val="24"/>
              </w:rPr>
              <w:t>及原因说明</w:t>
            </w:r>
          </w:p>
        </w:tc>
        <w:tc>
          <w:tcPr>
            <w:tcW w:w="3686" w:type="dxa"/>
          </w:tcPr>
          <w:p w:rsidR="00187ECC" w:rsidRDefault="00113602" w:rsidP="0011059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="00187EC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752" w:type="dxa"/>
          </w:tcPr>
          <w:p w:rsidR="00187ECC" w:rsidRDefault="000449C4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A33DA5"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9F59E2"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F59E2" w:rsidTr="00110596">
        <w:trPr>
          <w:jc w:val="center"/>
        </w:trPr>
        <w:tc>
          <w:tcPr>
            <w:tcW w:w="2972" w:type="dxa"/>
            <w:vMerge/>
          </w:tcPr>
          <w:p w:rsidR="009F59E2" w:rsidRDefault="009F59E2" w:rsidP="009F59E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9E2" w:rsidRDefault="009F59E2" w:rsidP="009F59E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恢复大额转换转入日 </w:t>
            </w:r>
          </w:p>
        </w:tc>
        <w:tc>
          <w:tcPr>
            <w:tcW w:w="2752" w:type="dxa"/>
          </w:tcPr>
          <w:p w:rsid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F59E2" w:rsidTr="00110596">
        <w:trPr>
          <w:jc w:val="center"/>
        </w:trPr>
        <w:tc>
          <w:tcPr>
            <w:tcW w:w="2972" w:type="dxa"/>
            <w:vMerge/>
          </w:tcPr>
          <w:p w:rsidR="009F59E2" w:rsidRDefault="009F59E2" w:rsidP="009F59E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9E2" w:rsidRDefault="009F59E2" w:rsidP="009F59E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恢复大额定期定额和不定额投资</w:t>
            </w:r>
            <w:r w:rsidRPr="002446D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752" w:type="dxa"/>
          </w:tcPr>
          <w:p w:rsid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  <w:vMerge/>
          </w:tcPr>
          <w:p w:rsidR="00187ECC" w:rsidRDefault="00187ECC" w:rsidP="00110596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87ECC" w:rsidRDefault="00187ECC" w:rsidP="0076547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Pr="003B5956"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752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9F59E2" w:rsidTr="00110596">
        <w:trPr>
          <w:jc w:val="center"/>
        </w:trPr>
        <w:tc>
          <w:tcPr>
            <w:tcW w:w="2972" w:type="dxa"/>
          </w:tcPr>
          <w:p w:rsid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3686" w:type="dxa"/>
            <w:vAlign w:val="center"/>
          </w:tcPr>
          <w:p w:rsidR="009F59E2" w:rsidRPr="009E178B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59E2">
              <w:rPr>
                <w:rFonts w:ascii="宋体" w:eastAsia="宋体" w:hAnsi="宋体" w:hint="eastAsia"/>
                <w:sz w:val="24"/>
                <w:szCs w:val="24"/>
              </w:rPr>
              <w:t>广发深证100指数（LOF）</w:t>
            </w:r>
            <w:r w:rsidRPr="00CC7C8C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752" w:type="dxa"/>
            <w:vAlign w:val="center"/>
          </w:tcPr>
          <w:p w:rsidR="009F59E2" w:rsidRPr="009E178B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59E2">
              <w:rPr>
                <w:rFonts w:ascii="宋体" w:eastAsia="宋体" w:hAnsi="宋体" w:hint="eastAsia"/>
                <w:sz w:val="24"/>
                <w:szCs w:val="24"/>
              </w:rPr>
              <w:t>广发深证100指数C</w:t>
            </w:r>
          </w:p>
        </w:tc>
      </w:tr>
      <w:tr w:rsidR="009F59E2" w:rsidTr="00E704C7">
        <w:trPr>
          <w:jc w:val="center"/>
        </w:trPr>
        <w:tc>
          <w:tcPr>
            <w:tcW w:w="2972" w:type="dxa"/>
          </w:tcPr>
          <w:p w:rsidR="009F59E2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686" w:type="dxa"/>
          </w:tcPr>
          <w:p w:rsidR="009F59E2" w:rsidRPr="009E178B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59E2">
              <w:rPr>
                <w:rFonts w:ascii="宋体" w:eastAsia="宋体" w:hAnsi="宋体"/>
                <w:sz w:val="24"/>
                <w:szCs w:val="24"/>
              </w:rPr>
              <w:t>162714</w:t>
            </w:r>
          </w:p>
        </w:tc>
        <w:tc>
          <w:tcPr>
            <w:tcW w:w="2752" w:type="dxa"/>
          </w:tcPr>
          <w:p w:rsidR="009F59E2" w:rsidRPr="009E178B" w:rsidRDefault="009F59E2" w:rsidP="009F59E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F59E2">
              <w:rPr>
                <w:rFonts w:ascii="宋体" w:eastAsia="宋体" w:hAnsi="宋体"/>
                <w:sz w:val="24"/>
                <w:szCs w:val="24"/>
              </w:rPr>
              <w:t>009472</w:t>
            </w:r>
          </w:p>
        </w:tc>
      </w:tr>
      <w:tr w:rsidR="00187ECC" w:rsidTr="00110596">
        <w:trPr>
          <w:jc w:val="center"/>
        </w:trPr>
        <w:tc>
          <w:tcPr>
            <w:tcW w:w="2972" w:type="dxa"/>
          </w:tcPr>
          <w:p w:rsidR="00187ECC" w:rsidRDefault="00187ECC" w:rsidP="0076547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该分级基金是否恢复</w:t>
            </w:r>
            <w:r w:rsidRPr="00BE3768">
              <w:rPr>
                <w:rFonts w:ascii="宋体" w:eastAsia="宋体" w:hAnsi="宋体" w:hint="eastAsia"/>
                <w:sz w:val="24"/>
                <w:szCs w:val="24"/>
              </w:rPr>
              <w:t>大额申购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</w:p>
        </w:tc>
        <w:tc>
          <w:tcPr>
            <w:tcW w:w="3686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187ECC" w:rsidRDefault="00187ECC" w:rsidP="001105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F59E2" w:rsidRPr="009E178B" w:rsidRDefault="009F59E2" w:rsidP="009F59E2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272841">
        <w:rPr>
          <w:rFonts w:ascii="宋体" w:eastAsia="宋体" w:hAnsi="宋体" w:cs="Arial" w:hint="eastAsia"/>
          <w:kern w:val="0"/>
          <w:sz w:val="24"/>
          <w:szCs w:val="24"/>
        </w:rPr>
        <w:t>注：广发深证100指数证券投资基金（LOF）场内简称为“</w:t>
      </w:r>
      <w:r>
        <w:rPr>
          <w:rFonts w:ascii="宋体" w:eastAsia="宋体" w:hAnsi="宋体" w:cs="Arial" w:hint="eastAsia"/>
          <w:kern w:val="0"/>
          <w:sz w:val="24"/>
          <w:szCs w:val="24"/>
        </w:rPr>
        <w:t>深证1</w:t>
      </w:r>
      <w:r>
        <w:rPr>
          <w:rFonts w:ascii="宋体" w:eastAsia="宋体" w:hAnsi="宋体" w:cs="Arial"/>
          <w:kern w:val="0"/>
          <w:sz w:val="24"/>
          <w:szCs w:val="24"/>
        </w:rPr>
        <w:t>00</w:t>
      </w:r>
      <w:r>
        <w:rPr>
          <w:rFonts w:ascii="宋体" w:eastAsia="宋体" w:hAnsi="宋体" w:cs="Arial" w:hint="eastAsia"/>
          <w:kern w:val="0"/>
          <w:sz w:val="24"/>
          <w:szCs w:val="24"/>
        </w:rPr>
        <w:t>基金</w:t>
      </w:r>
      <w:r w:rsidRPr="00272841">
        <w:rPr>
          <w:rFonts w:ascii="宋体" w:eastAsia="宋体" w:hAnsi="宋体" w:cs="Arial" w:hint="eastAsia"/>
          <w:kern w:val="0"/>
          <w:sz w:val="24"/>
          <w:szCs w:val="24"/>
        </w:rPr>
        <w:t>”。</w:t>
      </w:r>
    </w:p>
    <w:p w:rsidR="007912B8" w:rsidRPr="009F59E2" w:rsidRDefault="007912B8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</w:p>
    <w:p w:rsidR="007912B8" w:rsidRDefault="00815AD3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="00BD04C6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其他需要提示的事项</w:t>
      </w:r>
      <w:bookmarkEnd w:id="1"/>
    </w:p>
    <w:p w:rsidR="007912B8" w:rsidRDefault="000C3A6F" w:rsidP="00815AD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C3A6F">
        <w:rPr>
          <w:rFonts w:ascii="宋体" w:eastAsia="宋体" w:hAnsi="宋体" w:hint="eastAsia"/>
          <w:sz w:val="24"/>
          <w:szCs w:val="24"/>
        </w:rPr>
        <w:t>为满足投资者的投资需求，</w:t>
      </w:r>
      <w:r w:rsidR="009679D6">
        <w:rPr>
          <w:rFonts w:ascii="宋体" w:eastAsia="宋体" w:hAnsi="宋体" w:hint="eastAsia"/>
          <w:sz w:val="24"/>
          <w:szCs w:val="24"/>
        </w:rPr>
        <w:t>广发基金管理有限公司（</w:t>
      </w:r>
      <w:r w:rsidR="009679D6" w:rsidRPr="000C3A6F">
        <w:rPr>
          <w:rFonts w:ascii="宋体" w:eastAsia="宋体" w:hAnsi="宋体" w:hint="eastAsia"/>
          <w:sz w:val="24"/>
          <w:szCs w:val="24"/>
        </w:rPr>
        <w:t>以下简称“本</w:t>
      </w:r>
      <w:r w:rsidR="009679D6">
        <w:rPr>
          <w:rFonts w:ascii="宋体" w:eastAsia="宋体" w:hAnsi="宋体" w:hint="eastAsia"/>
          <w:sz w:val="24"/>
          <w:szCs w:val="24"/>
        </w:rPr>
        <w:t>公司</w:t>
      </w:r>
      <w:r w:rsidR="009679D6" w:rsidRPr="000C3A6F">
        <w:rPr>
          <w:rFonts w:ascii="宋体" w:eastAsia="宋体" w:hAnsi="宋体" w:hint="eastAsia"/>
          <w:sz w:val="24"/>
          <w:szCs w:val="24"/>
        </w:rPr>
        <w:t>”</w:t>
      </w:r>
      <w:r w:rsidR="009679D6">
        <w:rPr>
          <w:rFonts w:ascii="宋体" w:eastAsia="宋体" w:hAnsi="宋体" w:hint="eastAsia"/>
          <w:sz w:val="24"/>
          <w:szCs w:val="24"/>
        </w:rPr>
        <w:t>）</w:t>
      </w:r>
      <w:r w:rsidRPr="000C3A6F">
        <w:rPr>
          <w:rFonts w:ascii="宋体" w:eastAsia="宋体" w:hAnsi="宋体" w:hint="eastAsia"/>
          <w:sz w:val="24"/>
          <w:szCs w:val="24"/>
        </w:rPr>
        <w:t>决定取消</w:t>
      </w:r>
      <w:r w:rsidR="009F59E2">
        <w:rPr>
          <w:rFonts w:ascii="宋体" w:eastAsia="宋体" w:hAnsi="宋体" w:hint="eastAsia"/>
          <w:sz w:val="24"/>
          <w:szCs w:val="24"/>
        </w:rPr>
        <w:t>广发深证100指数证券投资基金（LOF）</w:t>
      </w:r>
      <w:r w:rsidRPr="000C3A6F">
        <w:rPr>
          <w:rFonts w:ascii="宋体" w:eastAsia="宋体" w:hAnsi="宋体" w:hint="eastAsia"/>
          <w:sz w:val="24"/>
          <w:szCs w:val="24"/>
        </w:rPr>
        <w:t>（以下简称“本基金”）</w:t>
      </w:r>
      <w:r w:rsidR="00C91ADB" w:rsidRPr="00C91ADB">
        <w:rPr>
          <w:rFonts w:ascii="宋体" w:eastAsia="宋体" w:hAnsi="宋体" w:hint="eastAsia"/>
          <w:sz w:val="24"/>
          <w:szCs w:val="24"/>
        </w:rPr>
        <w:t>机构投资者</w:t>
      </w:r>
      <w:r w:rsidR="004F3A1C">
        <w:rPr>
          <w:rFonts w:ascii="宋体" w:eastAsia="宋体" w:hAnsi="宋体" w:hint="eastAsia"/>
          <w:sz w:val="24"/>
          <w:szCs w:val="24"/>
        </w:rPr>
        <w:t>的</w:t>
      </w:r>
      <w:r w:rsidRPr="000C3A6F">
        <w:rPr>
          <w:rFonts w:ascii="宋体" w:eastAsia="宋体" w:hAnsi="宋体" w:hint="eastAsia"/>
          <w:sz w:val="24"/>
          <w:szCs w:val="24"/>
        </w:rPr>
        <w:t>申购（含转换转入、定期定额和不定额投资）业务限额，具体措施如下：</w:t>
      </w:r>
      <w:r w:rsidRPr="000C3A6F">
        <w:rPr>
          <w:rFonts w:ascii="宋体" w:eastAsia="宋体" w:hAnsi="宋体" w:hint="eastAsia"/>
          <w:sz w:val="24"/>
          <w:szCs w:val="24"/>
        </w:rPr>
        <w:lastRenderedPageBreak/>
        <w:t>从</w:t>
      </w:r>
      <w:r w:rsidR="000449C4">
        <w:rPr>
          <w:rFonts w:ascii="宋体" w:eastAsia="宋体" w:hAnsi="宋体" w:hint="eastAsia"/>
          <w:sz w:val="24"/>
          <w:szCs w:val="24"/>
        </w:rPr>
        <w:t>2023年</w:t>
      </w:r>
      <w:r w:rsidR="00A33DA5">
        <w:rPr>
          <w:rFonts w:ascii="宋体" w:eastAsia="宋体" w:hAnsi="宋体"/>
          <w:sz w:val="24"/>
          <w:szCs w:val="24"/>
        </w:rPr>
        <w:t>12</w:t>
      </w:r>
      <w:r w:rsidR="000449C4">
        <w:rPr>
          <w:rFonts w:ascii="宋体" w:eastAsia="宋体" w:hAnsi="宋体" w:hint="eastAsia"/>
          <w:sz w:val="24"/>
          <w:szCs w:val="24"/>
        </w:rPr>
        <w:t>月</w:t>
      </w:r>
      <w:r w:rsidR="009F59E2">
        <w:rPr>
          <w:rFonts w:ascii="宋体" w:eastAsia="宋体" w:hAnsi="宋体"/>
          <w:sz w:val="24"/>
          <w:szCs w:val="24"/>
        </w:rPr>
        <w:t>20</w:t>
      </w:r>
      <w:r w:rsidR="000449C4">
        <w:rPr>
          <w:rFonts w:ascii="宋体" w:eastAsia="宋体" w:hAnsi="宋体" w:hint="eastAsia"/>
          <w:sz w:val="24"/>
          <w:szCs w:val="24"/>
        </w:rPr>
        <w:t>日</w:t>
      </w:r>
      <w:r w:rsidRPr="000C3A6F">
        <w:rPr>
          <w:rFonts w:ascii="宋体" w:eastAsia="宋体" w:hAnsi="宋体" w:hint="eastAsia"/>
          <w:sz w:val="24"/>
          <w:szCs w:val="24"/>
        </w:rPr>
        <w:t>起，本基金取消</w:t>
      </w:r>
      <w:r w:rsidR="00790C2F" w:rsidRPr="00790C2F">
        <w:rPr>
          <w:rFonts w:ascii="宋体" w:eastAsia="宋体" w:hAnsi="宋体" w:hint="eastAsia"/>
          <w:sz w:val="24"/>
          <w:szCs w:val="24"/>
        </w:rPr>
        <w:t>原</w:t>
      </w:r>
      <w:r w:rsidR="00790C2F">
        <w:rPr>
          <w:rFonts w:ascii="宋体" w:eastAsia="宋体" w:hAnsi="宋体" w:hint="eastAsia"/>
          <w:sz w:val="24"/>
          <w:szCs w:val="24"/>
        </w:rPr>
        <w:t>机构</w:t>
      </w:r>
      <w:r w:rsidR="00012BFB">
        <w:rPr>
          <w:rFonts w:ascii="宋体" w:eastAsia="宋体" w:hAnsi="宋体" w:hint="eastAsia"/>
          <w:sz w:val="24"/>
          <w:szCs w:val="24"/>
        </w:rPr>
        <w:t>投资者单日单个基金账户</w:t>
      </w:r>
      <w:r w:rsidR="00790C2F" w:rsidRPr="00790C2F">
        <w:rPr>
          <w:rFonts w:ascii="宋体" w:eastAsia="宋体" w:hAnsi="宋体" w:hint="eastAsia"/>
          <w:sz w:val="24"/>
          <w:szCs w:val="24"/>
        </w:rPr>
        <w:t>申购（含转换转入、定期定额和不定额投资）合计不得超过</w:t>
      </w:r>
      <w:r w:rsidR="00B879BD">
        <w:rPr>
          <w:rFonts w:ascii="宋体" w:eastAsia="宋体" w:hAnsi="宋体"/>
          <w:sz w:val="24"/>
          <w:szCs w:val="24"/>
        </w:rPr>
        <w:t>100,000.00</w:t>
      </w:r>
      <w:r w:rsidR="00790C2F" w:rsidRPr="00790C2F">
        <w:rPr>
          <w:rFonts w:ascii="宋体" w:eastAsia="宋体" w:hAnsi="宋体" w:hint="eastAsia"/>
          <w:sz w:val="24"/>
          <w:szCs w:val="24"/>
        </w:rPr>
        <w:t>元的限额</w:t>
      </w:r>
      <w:r w:rsidR="00790C2F">
        <w:rPr>
          <w:rFonts w:ascii="宋体" w:eastAsia="宋体" w:hAnsi="宋体" w:hint="eastAsia"/>
          <w:sz w:val="24"/>
          <w:szCs w:val="24"/>
        </w:rPr>
        <w:t>，</w:t>
      </w:r>
      <w:r w:rsidRPr="000C3A6F">
        <w:rPr>
          <w:rFonts w:ascii="宋体" w:eastAsia="宋体" w:hAnsi="宋体" w:hint="eastAsia"/>
          <w:sz w:val="24"/>
          <w:szCs w:val="24"/>
        </w:rPr>
        <w:t>恢复正常的</w:t>
      </w:r>
      <w:r w:rsidR="00947138">
        <w:rPr>
          <w:rFonts w:ascii="宋体" w:eastAsia="宋体" w:hAnsi="宋体" w:hint="eastAsia"/>
          <w:sz w:val="24"/>
          <w:szCs w:val="24"/>
        </w:rPr>
        <w:t>大额</w:t>
      </w:r>
      <w:r w:rsidRPr="000C3A6F">
        <w:rPr>
          <w:rFonts w:ascii="宋体" w:eastAsia="宋体" w:hAnsi="宋体" w:hint="eastAsia"/>
          <w:sz w:val="24"/>
          <w:szCs w:val="24"/>
        </w:rPr>
        <w:t>申购（含转换转入、定期定额和不定额投资）业务。</w:t>
      </w:r>
      <w:r w:rsidR="00815AD3">
        <w:rPr>
          <w:rFonts w:ascii="宋体" w:eastAsia="宋体" w:hAnsi="宋体"/>
          <w:sz w:val="24"/>
        </w:rPr>
        <w:t xml:space="preserve"> </w:t>
      </w:r>
    </w:p>
    <w:p w:rsidR="00815AD3" w:rsidRDefault="00815AD3" w:rsidP="00815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5AD3">
        <w:rPr>
          <w:rFonts w:ascii="宋体" w:eastAsia="宋体" w:hAnsi="宋体" w:hint="eastAsia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305142" w:rsidRPr="00815AD3" w:rsidRDefault="00305142" w:rsidP="00815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5142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7912B8" w:rsidRDefault="00815AD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特此公告。</w:t>
      </w:r>
    </w:p>
    <w:p w:rsidR="007912B8" w:rsidRDefault="007912B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912B8" w:rsidRDefault="007912B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912B8" w:rsidRDefault="00815AD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广发基金管理有限公司</w:t>
      </w:r>
    </w:p>
    <w:p w:rsidR="007912B8" w:rsidRDefault="000449C4" w:rsidP="0020434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szCs w:val="24"/>
        </w:rPr>
        <w:t>2023年</w:t>
      </w:r>
      <w:r w:rsidR="00A33DA5">
        <w:rPr>
          <w:rFonts w:ascii="宋体" w:eastAsia="宋体" w:hAnsi="宋体"/>
          <w:sz w:val="24"/>
          <w:szCs w:val="24"/>
        </w:rPr>
        <w:t>12</w:t>
      </w:r>
      <w:r>
        <w:rPr>
          <w:rFonts w:ascii="宋体" w:eastAsia="宋体" w:hAnsi="宋体"/>
          <w:sz w:val="24"/>
          <w:szCs w:val="24"/>
        </w:rPr>
        <w:t>月</w:t>
      </w:r>
      <w:r w:rsidR="009F59E2">
        <w:rPr>
          <w:rFonts w:ascii="宋体" w:eastAsia="宋体" w:hAnsi="宋体"/>
          <w:sz w:val="24"/>
          <w:szCs w:val="24"/>
        </w:rPr>
        <w:t>19</w:t>
      </w:r>
      <w:bookmarkStart w:id="2" w:name="_GoBack"/>
      <w:bookmarkEnd w:id="2"/>
      <w:r>
        <w:rPr>
          <w:rFonts w:ascii="宋体" w:eastAsia="宋体" w:hAnsi="宋体"/>
          <w:sz w:val="24"/>
          <w:szCs w:val="24"/>
        </w:rPr>
        <w:t>日</w:t>
      </w:r>
    </w:p>
    <w:sectPr w:rsidR="007912B8" w:rsidSect="00402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F2" w:rsidRDefault="00686FF2" w:rsidP="004B0872">
      <w:r>
        <w:separator/>
      </w:r>
    </w:p>
  </w:endnote>
  <w:endnote w:type="continuationSeparator" w:id="0">
    <w:p w:rsidR="00686FF2" w:rsidRDefault="00686FF2" w:rsidP="004B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F2" w:rsidRDefault="00686FF2" w:rsidP="004B0872">
      <w:r>
        <w:separator/>
      </w:r>
    </w:p>
  </w:footnote>
  <w:footnote w:type="continuationSeparator" w:id="0">
    <w:p w:rsidR="00686FF2" w:rsidRDefault="00686FF2" w:rsidP="004B0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D3D"/>
    <w:rsid w:val="00012BFB"/>
    <w:rsid w:val="00022D3D"/>
    <w:rsid w:val="00040692"/>
    <w:rsid w:val="000449C4"/>
    <w:rsid w:val="00073869"/>
    <w:rsid w:val="000A35F1"/>
    <w:rsid w:val="000C3937"/>
    <w:rsid w:val="000C3A6F"/>
    <w:rsid w:val="000E43F6"/>
    <w:rsid w:val="00113602"/>
    <w:rsid w:val="00154251"/>
    <w:rsid w:val="001812BB"/>
    <w:rsid w:val="00187ECC"/>
    <w:rsid w:val="001F0B68"/>
    <w:rsid w:val="001F3C39"/>
    <w:rsid w:val="00204342"/>
    <w:rsid w:val="002151B9"/>
    <w:rsid w:val="00232080"/>
    <w:rsid w:val="00275BA0"/>
    <w:rsid w:val="002A750A"/>
    <w:rsid w:val="002B7AB5"/>
    <w:rsid w:val="002D5EF5"/>
    <w:rsid w:val="00305142"/>
    <w:rsid w:val="0040227A"/>
    <w:rsid w:val="004200CC"/>
    <w:rsid w:val="004B0872"/>
    <w:rsid w:val="004D2930"/>
    <w:rsid w:val="004D3915"/>
    <w:rsid w:val="004F3A1C"/>
    <w:rsid w:val="0050397F"/>
    <w:rsid w:val="005821D5"/>
    <w:rsid w:val="00595625"/>
    <w:rsid w:val="005D46D7"/>
    <w:rsid w:val="00612FC3"/>
    <w:rsid w:val="00616CC7"/>
    <w:rsid w:val="006312B9"/>
    <w:rsid w:val="006446C0"/>
    <w:rsid w:val="00665EF0"/>
    <w:rsid w:val="00686FF2"/>
    <w:rsid w:val="006932D3"/>
    <w:rsid w:val="006A5809"/>
    <w:rsid w:val="006A5EE1"/>
    <w:rsid w:val="006C2660"/>
    <w:rsid w:val="00714F60"/>
    <w:rsid w:val="00716DF6"/>
    <w:rsid w:val="00727D29"/>
    <w:rsid w:val="00760270"/>
    <w:rsid w:val="0076547D"/>
    <w:rsid w:val="00765785"/>
    <w:rsid w:val="00766675"/>
    <w:rsid w:val="00790C2F"/>
    <w:rsid w:val="007912B8"/>
    <w:rsid w:val="007C3570"/>
    <w:rsid w:val="007C6171"/>
    <w:rsid w:val="00815AD3"/>
    <w:rsid w:val="008210DF"/>
    <w:rsid w:val="00827884"/>
    <w:rsid w:val="008349DB"/>
    <w:rsid w:val="008578A8"/>
    <w:rsid w:val="00873467"/>
    <w:rsid w:val="008B1BE7"/>
    <w:rsid w:val="008B7476"/>
    <w:rsid w:val="008F652D"/>
    <w:rsid w:val="00903BC1"/>
    <w:rsid w:val="00947138"/>
    <w:rsid w:val="009679D6"/>
    <w:rsid w:val="009951AA"/>
    <w:rsid w:val="009971FE"/>
    <w:rsid w:val="009A0D64"/>
    <w:rsid w:val="009B4399"/>
    <w:rsid w:val="009B64F0"/>
    <w:rsid w:val="009F3F31"/>
    <w:rsid w:val="009F59E2"/>
    <w:rsid w:val="00A16CDB"/>
    <w:rsid w:val="00A33DA5"/>
    <w:rsid w:val="00AD7001"/>
    <w:rsid w:val="00B5331C"/>
    <w:rsid w:val="00B677F1"/>
    <w:rsid w:val="00B67966"/>
    <w:rsid w:val="00B879BD"/>
    <w:rsid w:val="00B96CF3"/>
    <w:rsid w:val="00BA36EB"/>
    <w:rsid w:val="00BD04C6"/>
    <w:rsid w:val="00BF5DCE"/>
    <w:rsid w:val="00C17C69"/>
    <w:rsid w:val="00C216DF"/>
    <w:rsid w:val="00C606B4"/>
    <w:rsid w:val="00C86042"/>
    <w:rsid w:val="00C91ADB"/>
    <w:rsid w:val="00C91FAF"/>
    <w:rsid w:val="00D14B79"/>
    <w:rsid w:val="00D31DC6"/>
    <w:rsid w:val="00D46FDA"/>
    <w:rsid w:val="00D63521"/>
    <w:rsid w:val="00DA24BE"/>
    <w:rsid w:val="00DE11D2"/>
    <w:rsid w:val="00DF35E7"/>
    <w:rsid w:val="00E12BA2"/>
    <w:rsid w:val="00E33ABF"/>
    <w:rsid w:val="00F11E63"/>
    <w:rsid w:val="00F36750"/>
    <w:rsid w:val="00F42E73"/>
    <w:rsid w:val="00F44E85"/>
    <w:rsid w:val="00F50486"/>
    <w:rsid w:val="00F745CD"/>
    <w:rsid w:val="00FE42F6"/>
    <w:rsid w:val="00FE4654"/>
    <w:rsid w:val="00FE6B81"/>
    <w:rsid w:val="00FE764F"/>
    <w:rsid w:val="0AFC72D5"/>
    <w:rsid w:val="4D9F18B3"/>
    <w:rsid w:val="6DF05CDA"/>
    <w:rsid w:val="7D60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7A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0227A"/>
    <w:rPr>
      <w:rFonts w:eastAsia="方正仿宋简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227A"/>
    <w:rPr>
      <w:rFonts w:eastAsia="方正仿宋简体"/>
      <w:sz w:val="18"/>
      <w:szCs w:val="18"/>
    </w:rPr>
  </w:style>
  <w:style w:type="table" w:styleId="a5">
    <w:name w:val="Table Grid"/>
    <w:basedOn w:val="a1"/>
    <w:uiPriority w:val="39"/>
    <w:rsid w:val="009A0D6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91A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ADB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mingshuang hu</dc:creator>
  <cp:lastModifiedBy>ZHONGM</cp:lastModifiedBy>
  <cp:revision>2</cp:revision>
  <dcterms:created xsi:type="dcterms:W3CDTF">2023-12-18T16:01:00Z</dcterms:created>
  <dcterms:modified xsi:type="dcterms:W3CDTF">2023-12-18T16:01:00Z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