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7" w:rsidRDefault="005C1A33">
      <w:pPr>
        <w:jc w:val="center"/>
        <w:rPr>
          <w:sz w:val="48"/>
          <w:szCs w:val="48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 </w:t>
      </w:r>
    </w:p>
    <w:p w:rsidR="00DF23C7" w:rsidRDefault="005C1A33">
      <w:pPr>
        <w:jc w:val="center"/>
        <w:rPr>
          <w:sz w:val="48"/>
          <w:szCs w:val="48"/>
          <w:lang w:eastAsia="zh-CN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鹏华宏观灵活配置混合型证券投资基金恢复大额申购、转换转入和定期定额投资业务的公告</w:t>
      </w:r>
    </w:p>
    <w:p w:rsidR="00DF23C7" w:rsidRDefault="005C1A33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DF23C7" w:rsidRDefault="005C1A33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DF23C7" w:rsidRDefault="005C1A33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DF23C7" w:rsidRDefault="005C1A33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DF23C7" w:rsidRDefault="005C1A33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DF23C7">
      <w:pPr>
        <w:jc w:val="both"/>
        <w:rPr>
          <w:lang w:eastAsia="zh-CN"/>
        </w:rPr>
      </w:pPr>
    </w:p>
    <w:p w:rsidR="00DF23C7" w:rsidRDefault="00DF23C7">
      <w:pPr>
        <w:jc w:val="both"/>
        <w:rPr>
          <w:lang w:eastAsia="zh-CN"/>
        </w:rPr>
      </w:pPr>
    </w:p>
    <w:p w:rsidR="00DF23C7" w:rsidRDefault="00DF23C7">
      <w:pPr>
        <w:jc w:val="both"/>
        <w:rPr>
          <w:lang w:eastAsia="zh-CN"/>
        </w:rPr>
      </w:pPr>
    </w:p>
    <w:p w:rsidR="00DF23C7" w:rsidRDefault="00DF23C7">
      <w:pPr>
        <w:jc w:val="both"/>
        <w:rPr>
          <w:lang w:eastAsia="zh-CN"/>
        </w:rPr>
      </w:pPr>
    </w:p>
    <w:p w:rsidR="00DF23C7" w:rsidRDefault="00DF23C7">
      <w:pPr>
        <w:jc w:val="both"/>
        <w:rPr>
          <w:lang w:eastAsia="zh-CN"/>
        </w:rPr>
      </w:pPr>
    </w:p>
    <w:p w:rsidR="00DF23C7" w:rsidRDefault="00DF23C7">
      <w:pPr>
        <w:jc w:val="both"/>
        <w:rPr>
          <w:lang w:eastAsia="zh-CN"/>
        </w:rPr>
      </w:pPr>
    </w:p>
    <w:p w:rsidR="00DF23C7" w:rsidRDefault="005C1A33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公告送出日期： 2023年12月</w:t>
      </w:r>
      <w:r w:rsidR="001C20C5">
        <w:rPr>
          <w:rFonts w:ascii="宋体" w:eastAsia="宋体" w:hAnsi="宋体" w:cs="宋体"/>
          <w:b/>
          <w:bCs/>
          <w:sz w:val="28"/>
          <w:szCs w:val="28"/>
          <w:lang w:eastAsia="zh-CN"/>
        </w:rPr>
        <w:t>19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日</w:t>
      </w:r>
    </w:p>
    <w:p w:rsidR="00DF23C7" w:rsidRDefault="005C1A33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DF23C7" w:rsidRDefault="005C1A33">
      <w:pPr>
        <w:jc w:val="both"/>
      </w:pPr>
      <w:r>
        <w:rPr>
          <w:rFonts w:eastAsia="Times New Roman"/>
          <w:lang w:eastAsia="zh-CN"/>
        </w:rPr>
        <w:t> </w:t>
      </w:r>
    </w:p>
    <w:p w:rsidR="00DF23C7" w:rsidRDefault="005C1A33">
      <w:pPr>
        <w:jc w:val="both"/>
      </w:pPr>
      <w:r>
        <w:rPr>
          <w:rFonts w:eastAsia="Times New Roman"/>
          <w:lang w:eastAsia="zh-CN"/>
        </w:rPr>
        <w:t> </w:t>
      </w:r>
    </w:p>
    <w:p w:rsidR="00DF23C7" w:rsidRDefault="005C1A33">
      <w:pPr>
        <w:jc w:val="both"/>
      </w:pPr>
      <w:r>
        <w:rPr>
          <w:rFonts w:eastAsia="Times New Roman"/>
          <w:lang w:eastAsia="zh-CN"/>
        </w:rPr>
        <w:t> </w:t>
      </w:r>
    </w:p>
    <w:p w:rsidR="00DF23C7" w:rsidRDefault="00DF23C7">
      <w:pPr>
        <w:jc w:val="both"/>
      </w:pPr>
    </w:p>
    <w:p w:rsidR="00DF23C7" w:rsidRDefault="00DF23C7">
      <w:pPr>
        <w:jc w:val="both"/>
      </w:pPr>
    </w:p>
    <w:p w:rsidR="00DF23C7" w:rsidRDefault="005C1A33">
      <w:pPr>
        <w:jc w:val="both"/>
      </w:pPr>
      <w:r>
        <w:rPr>
          <w:rFonts w:ascii="宋体" w:eastAsia="宋体" w:hAnsi="宋体" w:cs="宋体"/>
          <w:b/>
          <w:bCs/>
          <w:lang w:eastAsia="zh-CN"/>
        </w:rPr>
        <w:t>1 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4512"/>
        <w:gridCol w:w="3784"/>
      </w:tblGrid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基金名称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鹏华宏观灵活配置混合型证券投资基金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基金简称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鹏华宏观混合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基金主代码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206013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基金管理人名称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鹏华基金管理有限公司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公告依据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《鹏华宏观灵活配置混合型证券投资基金基金合同》（以下简称“基金合同”）、《鹏华宏观灵活配置混合型证券投资基金招募说明书》及其更新（以下简称“招募说明书”）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恢复大额申购起始日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2023年12月</w:t>
            </w:r>
            <w:r w:rsidR="00A12CF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恢复大额转换转入起始日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2023年12月</w:t>
            </w:r>
            <w:r w:rsidR="00A12CF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恢复大额定期定额投资起始日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2023年12月</w:t>
            </w:r>
            <w:r w:rsidR="00A12CF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  <w:tr w:rsidR="00DF23C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恢复大额申购（转换转入、定期定额投资）的原因说明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:rsidR="00DF23C7" w:rsidRDefault="005C1A33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满足投资者的投资需求</w:t>
            </w:r>
          </w:p>
        </w:tc>
      </w:tr>
    </w:tbl>
    <w:p w:rsidR="00DF23C7" w:rsidRDefault="005C1A33">
      <w:pPr>
        <w:rPr>
          <w:lang w:eastAsia="zh-CN"/>
        </w:rPr>
      </w:pPr>
      <w:r>
        <w:rPr>
          <w:rFonts w:ascii="宋体" w:eastAsia="宋体" w:hAnsi="宋体" w:cs="宋体"/>
          <w:b/>
          <w:bCs/>
          <w:lang w:eastAsia="zh-CN"/>
        </w:rPr>
        <w:t>2 其他需要提示的事项</w:t>
      </w:r>
    </w:p>
    <w:p w:rsidR="00DF23C7" w:rsidRPr="00B31622" w:rsidRDefault="005C1A33">
      <w:pPr>
        <w:spacing w:line="360" w:lineRule="auto"/>
        <w:ind w:firstLine="42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（</w:t>
      </w:r>
      <w:r w:rsidRPr="00B31622">
        <w:rPr>
          <w:rFonts w:ascii="宋体" w:eastAsia="宋体" w:hAnsi="宋体"/>
          <w:sz w:val="21"/>
          <w:szCs w:val="21"/>
          <w:lang w:eastAsia="zh-CN"/>
        </w:rPr>
        <w:t>1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）鹏华基金管理有限公司（以下简称</w:t>
      </w:r>
      <w:r w:rsidRPr="00B31622">
        <w:rPr>
          <w:rFonts w:ascii="宋体" w:eastAsia="宋体" w:hAnsi="宋体"/>
          <w:sz w:val="21"/>
          <w:szCs w:val="21"/>
          <w:lang w:eastAsia="zh-CN"/>
        </w:rPr>
        <w:t>“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本公司</w:t>
      </w:r>
      <w:r w:rsidRPr="00B31622">
        <w:rPr>
          <w:rFonts w:ascii="宋体" w:eastAsia="宋体" w:hAnsi="宋体"/>
          <w:sz w:val="21"/>
          <w:szCs w:val="21"/>
          <w:lang w:eastAsia="zh-CN"/>
        </w:rPr>
        <w:t>”)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决定自</w:t>
      </w:r>
      <w:r w:rsidRPr="00B31622">
        <w:rPr>
          <w:rFonts w:ascii="宋体" w:eastAsia="宋体" w:hAnsi="宋体"/>
          <w:sz w:val="21"/>
          <w:szCs w:val="21"/>
          <w:lang w:eastAsia="zh-CN"/>
        </w:rPr>
        <w:t>2023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年</w:t>
      </w:r>
      <w:r w:rsidRPr="00B31622">
        <w:rPr>
          <w:rFonts w:ascii="宋体" w:eastAsia="宋体" w:hAnsi="宋体"/>
          <w:sz w:val="21"/>
          <w:szCs w:val="21"/>
          <w:lang w:eastAsia="zh-CN"/>
        </w:rPr>
        <w:t>12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月</w:t>
      </w:r>
      <w:r w:rsidR="00A12CFE">
        <w:rPr>
          <w:rFonts w:ascii="宋体" w:eastAsia="宋体" w:hAnsi="宋体" w:hint="eastAsia"/>
          <w:sz w:val="21"/>
          <w:szCs w:val="21"/>
          <w:lang w:eastAsia="zh-CN"/>
        </w:rPr>
        <w:t>20</w:t>
      </w:r>
      <w:bookmarkStart w:id="0" w:name="_GoBack"/>
      <w:bookmarkEnd w:id="0"/>
      <w:r w:rsidRPr="00B31622">
        <w:rPr>
          <w:rFonts w:ascii="宋体" w:eastAsia="宋体" w:hAnsi="宋体" w:cs="宋体"/>
          <w:sz w:val="21"/>
          <w:szCs w:val="21"/>
          <w:lang w:eastAsia="zh-CN"/>
        </w:rPr>
        <w:t>日起恢复办理鹏华宏观灵活配置混合型证券投资基金（以下简称</w:t>
      </w:r>
      <w:r w:rsidRPr="00B31622">
        <w:rPr>
          <w:rFonts w:ascii="宋体" w:eastAsia="宋体" w:hAnsi="宋体"/>
          <w:sz w:val="21"/>
          <w:szCs w:val="21"/>
          <w:lang w:eastAsia="zh-CN"/>
        </w:rPr>
        <w:t>“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本基金</w:t>
      </w:r>
      <w:r w:rsidRPr="00B31622">
        <w:rPr>
          <w:rFonts w:ascii="宋体" w:eastAsia="宋体" w:hAnsi="宋体"/>
          <w:sz w:val="21"/>
          <w:szCs w:val="21"/>
          <w:lang w:eastAsia="zh-CN"/>
        </w:rPr>
        <w:t>”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）的大额申购、转换转入和定期定额投资业务，取消自</w:t>
      </w:r>
      <w:r w:rsidRPr="00B31622">
        <w:rPr>
          <w:rFonts w:ascii="宋体" w:eastAsia="宋体" w:hAnsi="宋体"/>
          <w:sz w:val="21"/>
          <w:szCs w:val="21"/>
          <w:lang w:eastAsia="zh-CN"/>
        </w:rPr>
        <w:t>2019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年</w:t>
      </w:r>
      <w:r w:rsidRPr="00B31622">
        <w:rPr>
          <w:rFonts w:ascii="宋体" w:eastAsia="宋体" w:hAnsi="宋体"/>
          <w:sz w:val="21"/>
          <w:szCs w:val="21"/>
          <w:lang w:eastAsia="zh-CN"/>
        </w:rPr>
        <w:t>08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月</w:t>
      </w:r>
      <w:r w:rsidRPr="00B31622">
        <w:rPr>
          <w:rFonts w:ascii="宋体" w:eastAsia="宋体" w:hAnsi="宋体"/>
          <w:sz w:val="21"/>
          <w:szCs w:val="21"/>
          <w:lang w:eastAsia="zh-CN"/>
        </w:rPr>
        <w:t>12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日起本基金单日单个基金账户累计申购、转换转入和定期定额投资金额限额为人民币</w:t>
      </w:r>
      <w:r w:rsidRPr="00B31622">
        <w:rPr>
          <w:rFonts w:ascii="宋体" w:eastAsia="宋体" w:hAnsi="宋体"/>
          <w:sz w:val="21"/>
          <w:szCs w:val="21"/>
          <w:lang w:eastAsia="zh-CN"/>
        </w:rPr>
        <w:t>10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万元的限制。</w:t>
      </w:r>
      <w:r w:rsidRPr="00B31622">
        <w:rPr>
          <w:rFonts w:ascii="宋体" w:eastAsia="宋体" w:hAnsi="宋体"/>
          <w:sz w:val="21"/>
          <w:szCs w:val="21"/>
          <w:lang w:eastAsia="zh-CN"/>
        </w:rPr>
        <w:t xml:space="preserve"> </w:t>
      </w:r>
    </w:p>
    <w:p w:rsidR="00DF23C7" w:rsidRPr="00B31622" w:rsidRDefault="005C1A33">
      <w:pPr>
        <w:spacing w:line="360" w:lineRule="auto"/>
        <w:ind w:firstLine="420"/>
        <w:rPr>
          <w:rFonts w:ascii="宋体" w:eastAsia="宋体" w:hAnsi="宋体" w:cs="宋体"/>
          <w:sz w:val="21"/>
          <w:szCs w:val="21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（2）投资者可登录本基金管理人网站（www.phfund.com.cn），或拨打客户服务电话（400-6788-533）咨询相关信息。</w:t>
      </w:r>
    </w:p>
    <w:p w:rsidR="00DF23C7" w:rsidRPr="00B31622" w:rsidRDefault="005C1A33">
      <w:pPr>
        <w:spacing w:line="360" w:lineRule="auto"/>
        <w:ind w:firstLine="420"/>
        <w:jc w:val="both"/>
        <w:rPr>
          <w:rFonts w:ascii="宋体" w:eastAsia="宋体" w:hAnsi="宋体"/>
          <w:sz w:val="21"/>
          <w:szCs w:val="21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 </w:t>
      </w:r>
    </w:p>
    <w:p w:rsidR="00DF23C7" w:rsidRPr="00B31622" w:rsidRDefault="005C1A33">
      <w:pPr>
        <w:spacing w:line="360" w:lineRule="auto"/>
        <w:ind w:firstLine="42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DF23C7" w:rsidRPr="00B31622" w:rsidRDefault="005C1A33">
      <w:pPr>
        <w:spacing w:line="360" w:lineRule="auto"/>
        <w:ind w:firstLine="42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特此公告。</w:t>
      </w:r>
    </w:p>
    <w:p w:rsidR="00DF23C7" w:rsidRPr="00B31622" w:rsidRDefault="005C1A33">
      <w:pPr>
        <w:spacing w:line="360" w:lineRule="auto"/>
        <w:jc w:val="right"/>
        <w:rPr>
          <w:rFonts w:ascii="宋体" w:eastAsia="宋体" w:hAnsi="宋体"/>
          <w:sz w:val="21"/>
          <w:szCs w:val="21"/>
          <w:lang w:eastAsia="zh-CN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鹏华基金管理有限公司</w:t>
      </w:r>
    </w:p>
    <w:p w:rsidR="00DF23C7" w:rsidRPr="00B31622" w:rsidRDefault="005C1A33">
      <w:pPr>
        <w:spacing w:line="360" w:lineRule="auto"/>
        <w:jc w:val="right"/>
        <w:rPr>
          <w:rFonts w:ascii="宋体" w:eastAsia="宋体" w:hAnsi="宋体"/>
          <w:sz w:val="21"/>
          <w:szCs w:val="21"/>
        </w:rPr>
      </w:pPr>
      <w:r w:rsidRPr="00B31622">
        <w:rPr>
          <w:rFonts w:ascii="宋体" w:eastAsia="宋体" w:hAnsi="宋体" w:cs="宋体"/>
          <w:sz w:val="21"/>
          <w:szCs w:val="21"/>
          <w:lang w:eastAsia="zh-CN"/>
        </w:rPr>
        <w:t>2023年12月</w:t>
      </w:r>
      <w:r w:rsidR="001C20C5">
        <w:rPr>
          <w:rFonts w:ascii="宋体" w:eastAsia="宋体" w:hAnsi="宋体" w:cs="宋体"/>
          <w:sz w:val="21"/>
          <w:szCs w:val="21"/>
          <w:lang w:eastAsia="zh-CN"/>
        </w:rPr>
        <w:t>19</w:t>
      </w:r>
      <w:r w:rsidRPr="00B31622">
        <w:rPr>
          <w:rFonts w:ascii="宋体" w:eastAsia="宋体" w:hAnsi="宋体" w:cs="宋体"/>
          <w:sz w:val="21"/>
          <w:szCs w:val="21"/>
          <w:lang w:eastAsia="zh-CN"/>
        </w:rPr>
        <w:t>日</w:t>
      </w:r>
    </w:p>
    <w:p w:rsidR="00A77B3E" w:rsidRDefault="00A77B3E"/>
    <w:sectPr w:rsidR="00A77B3E" w:rsidSect="00C165A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44" w:rsidRDefault="006C2C44">
      <w:r>
        <w:separator/>
      </w:r>
    </w:p>
  </w:endnote>
  <w:endnote w:type="continuationSeparator" w:id="0">
    <w:p w:rsidR="006C2C44" w:rsidRDefault="006C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C7" w:rsidRDefault="00C165AF">
    <w:pPr>
      <w:jc w:val="center"/>
    </w:pPr>
    <w:r>
      <w:rPr>
        <w:rFonts w:ascii="宋体" w:eastAsia="宋体" w:hAnsi="宋体" w:cs="宋体"/>
        <w:sz w:val="18"/>
      </w:rPr>
      <w:fldChar w:fldCharType="begin"/>
    </w:r>
    <w:r w:rsidR="005C1A33">
      <w:rPr>
        <w:rFonts w:ascii="宋体" w:eastAsia="宋体" w:hAnsi="宋体" w:cs="宋体"/>
        <w:sz w:val="18"/>
        <w:lang w:eastAsia="zh-CN"/>
      </w:rPr>
      <w:instrText xml:space="preserve"> PAGE </w:instrText>
    </w:r>
    <w:r>
      <w:rPr>
        <w:rFonts w:ascii="宋体" w:eastAsia="宋体" w:hAnsi="宋体" w:cs="宋体"/>
        <w:sz w:val="18"/>
      </w:rPr>
      <w:fldChar w:fldCharType="separate"/>
    </w:r>
    <w:r w:rsidR="00D41648">
      <w:rPr>
        <w:rFonts w:ascii="宋体" w:eastAsia="宋体" w:hAnsi="宋体" w:cs="宋体"/>
        <w:noProof/>
        <w:sz w:val="18"/>
        <w:lang w:eastAsia="zh-CN"/>
      </w:rPr>
      <w:t>1</w:t>
    </w:r>
    <w:r>
      <w:rPr>
        <w:rFonts w:ascii="宋体" w:eastAsia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44" w:rsidRDefault="006C2C44">
      <w:r>
        <w:separator/>
      </w:r>
    </w:p>
  </w:footnote>
  <w:footnote w:type="continuationSeparator" w:id="0">
    <w:p w:rsidR="006C2C44" w:rsidRDefault="006C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20C5"/>
    <w:rsid w:val="005C1A33"/>
    <w:rsid w:val="006C2C44"/>
    <w:rsid w:val="00755A43"/>
    <w:rsid w:val="00A12CFE"/>
    <w:rsid w:val="00A77B3E"/>
    <w:rsid w:val="00AA4CC8"/>
    <w:rsid w:val="00B31622"/>
    <w:rsid w:val="00C165AF"/>
    <w:rsid w:val="00CA2A55"/>
    <w:rsid w:val="00D41648"/>
    <w:rsid w:val="00DF23C7"/>
    <w:rsid w:val="00E3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eastAsia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2023-12-18T16:02:00Z</dcterms:created>
  <dcterms:modified xsi:type="dcterms:W3CDTF">2023-12-18T16:02:00Z</dcterms:modified>
</cp:coreProperties>
</file>