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F" w:rsidRPr="000E5212" w:rsidRDefault="00A136BF" w:rsidP="00A136BF">
      <w:pPr>
        <w:spacing w:line="360" w:lineRule="auto"/>
        <w:jc w:val="center"/>
        <w:rPr>
          <w:rFonts w:asciiTheme="minorEastAsia" w:eastAsiaTheme="minorEastAsia" w:hAnsiTheme="minorEastAsia" w:cs="宋体"/>
          <w:b/>
          <w:color w:val="000000"/>
          <w:kern w:val="0"/>
          <w:sz w:val="28"/>
          <w:szCs w:val="28"/>
        </w:rPr>
      </w:pPr>
      <w:r w:rsidRPr="00DE2902">
        <w:rPr>
          <w:rFonts w:asciiTheme="minorEastAsia" w:eastAsiaTheme="minorEastAsia" w:hAnsiTheme="minorEastAsia" w:cs="宋体" w:hint="eastAsia"/>
          <w:b/>
          <w:color w:val="000000"/>
          <w:kern w:val="0"/>
          <w:sz w:val="28"/>
          <w:szCs w:val="28"/>
        </w:rPr>
        <w:t>建信基金管理有限责任公司关于调整旗下部分基金申购金额起点（包括转换转入、定投）及赎回份额</w:t>
      </w:r>
      <w:r>
        <w:rPr>
          <w:rFonts w:asciiTheme="minorEastAsia" w:eastAsiaTheme="minorEastAsia" w:hAnsiTheme="minorEastAsia" w:cs="宋体" w:hint="eastAsia"/>
          <w:b/>
          <w:color w:val="000000"/>
          <w:kern w:val="0"/>
          <w:sz w:val="28"/>
          <w:szCs w:val="28"/>
        </w:rPr>
        <w:t>下限</w:t>
      </w:r>
      <w:r w:rsidRPr="00DE2902">
        <w:rPr>
          <w:rFonts w:asciiTheme="minorEastAsia" w:eastAsiaTheme="minorEastAsia" w:hAnsiTheme="minorEastAsia" w:cs="宋体" w:hint="eastAsia"/>
          <w:b/>
          <w:color w:val="000000"/>
          <w:kern w:val="0"/>
          <w:sz w:val="28"/>
          <w:szCs w:val="28"/>
        </w:rPr>
        <w:t>（包括转换转</w:t>
      </w:r>
      <w:r>
        <w:rPr>
          <w:rFonts w:asciiTheme="minorEastAsia" w:eastAsiaTheme="minorEastAsia" w:hAnsiTheme="minorEastAsia" w:cs="宋体" w:hint="eastAsia"/>
          <w:b/>
          <w:color w:val="000000"/>
          <w:kern w:val="0"/>
          <w:sz w:val="28"/>
          <w:szCs w:val="28"/>
        </w:rPr>
        <w:t>出</w:t>
      </w:r>
      <w:r w:rsidRPr="00DE2902">
        <w:rPr>
          <w:rFonts w:asciiTheme="minorEastAsia" w:eastAsiaTheme="minorEastAsia" w:hAnsiTheme="minorEastAsia" w:cs="宋体" w:hint="eastAsia"/>
          <w:b/>
          <w:color w:val="000000"/>
          <w:kern w:val="0"/>
          <w:sz w:val="28"/>
          <w:szCs w:val="28"/>
        </w:rPr>
        <w:t>）的公告</w:t>
      </w:r>
    </w:p>
    <w:p w:rsidR="004A77DF" w:rsidRPr="004A77DF" w:rsidRDefault="000E5212" w:rsidP="004A77DF">
      <w:pPr>
        <w:autoSpaceDE w:val="0"/>
        <w:autoSpaceDN w:val="0"/>
        <w:adjustRightInd w:val="0"/>
        <w:jc w:val="left"/>
        <w:rPr>
          <w:rFonts w:asciiTheme="minorEastAsia" w:eastAsiaTheme="minorEastAsia" w:hAnsiTheme="minorEastAsia"/>
          <w:sz w:val="28"/>
          <w:szCs w:val="28"/>
        </w:rPr>
      </w:pPr>
      <w:r w:rsidRPr="000E5212">
        <w:rPr>
          <w:rFonts w:asciiTheme="minorEastAsia" w:eastAsiaTheme="minorEastAsia" w:hAnsiTheme="minorEastAsia" w:cs="宋体" w:hint="eastAsia"/>
          <w:b/>
          <w:color w:val="000000"/>
          <w:kern w:val="0"/>
          <w:sz w:val="28"/>
          <w:szCs w:val="28"/>
        </w:rPr>
        <w:t xml:space="preserve">   </w:t>
      </w:r>
      <w:r w:rsidRPr="004A77DF">
        <w:rPr>
          <w:rFonts w:asciiTheme="minorEastAsia" w:eastAsiaTheme="minorEastAsia" w:hAnsiTheme="minorEastAsia" w:hint="eastAsia"/>
          <w:sz w:val="28"/>
          <w:szCs w:val="28"/>
        </w:rPr>
        <w:t xml:space="preserve"> </w:t>
      </w:r>
      <w:r w:rsidR="004A77DF" w:rsidRPr="004A77DF">
        <w:rPr>
          <w:rFonts w:asciiTheme="minorEastAsia" w:eastAsiaTheme="minorEastAsia" w:hAnsiTheme="minorEastAsia" w:hint="eastAsia"/>
          <w:sz w:val="28"/>
          <w:szCs w:val="28"/>
        </w:rPr>
        <w:t>为了更好地</w:t>
      </w:r>
      <w:r w:rsidR="004241C2">
        <w:rPr>
          <w:rFonts w:asciiTheme="minorEastAsia" w:eastAsiaTheme="minorEastAsia" w:hAnsiTheme="minorEastAsia" w:hint="eastAsia"/>
          <w:sz w:val="28"/>
          <w:szCs w:val="28"/>
        </w:rPr>
        <w:t>满足</w:t>
      </w:r>
      <w:r w:rsidR="004A77DF" w:rsidRPr="004A77DF">
        <w:rPr>
          <w:rFonts w:asciiTheme="minorEastAsia" w:eastAsiaTheme="minorEastAsia" w:hAnsiTheme="minorEastAsia" w:hint="eastAsia"/>
          <w:sz w:val="28"/>
          <w:szCs w:val="28"/>
        </w:rPr>
        <w:t>广大投资者的理财需求，建信基金管理有限责任公司（以下简称“我公司”）决定自</w:t>
      </w:r>
      <w:r w:rsidR="00A62DDC" w:rsidRPr="004A77DF">
        <w:rPr>
          <w:rFonts w:asciiTheme="minorEastAsia" w:eastAsiaTheme="minorEastAsia" w:hAnsiTheme="minorEastAsia"/>
          <w:sz w:val="28"/>
          <w:szCs w:val="28"/>
        </w:rPr>
        <w:t>20</w:t>
      </w:r>
      <w:r w:rsidR="00A62DDC">
        <w:rPr>
          <w:rFonts w:asciiTheme="minorEastAsia" w:eastAsiaTheme="minorEastAsia" w:hAnsiTheme="minorEastAsia" w:hint="eastAsia"/>
          <w:sz w:val="28"/>
          <w:szCs w:val="28"/>
        </w:rPr>
        <w:t>2</w:t>
      </w:r>
      <w:r w:rsidR="00D95F3C">
        <w:rPr>
          <w:rFonts w:asciiTheme="minorEastAsia" w:eastAsiaTheme="minorEastAsia" w:hAnsiTheme="minorEastAsia" w:hint="eastAsia"/>
          <w:sz w:val="28"/>
          <w:szCs w:val="28"/>
        </w:rPr>
        <w:t>3</w:t>
      </w:r>
      <w:r w:rsidR="00A62DDC" w:rsidRPr="004A77DF">
        <w:rPr>
          <w:rFonts w:asciiTheme="minorEastAsia" w:eastAsiaTheme="minorEastAsia" w:hAnsiTheme="minorEastAsia" w:hint="eastAsia"/>
          <w:sz w:val="28"/>
          <w:szCs w:val="28"/>
        </w:rPr>
        <w:t>年</w:t>
      </w:r>
      <w:r w:rsidR="0023190A">
        <w:rPr>
          <w:rFonts w:asciiTheme="minorEastAsia" w:eastAsiaTheme="minorEastAsia" w:hAnsiTheme="minorEastAsia" w:hint="eastAsia"/>
          <w:sz w:val="28"/>
          <w:szCs w:val="28"/>
        </w:rPr>
        <w:t>1</w:t>
      </w:r>
      <w:r w:rsidR="003863CD">
        <w:rPr>
          <w:rFonts w:asciiTheme="minorEastAsia" w:eastAsiaTheme="minorEastAsia" w:hAnsiTheme="minorEastAsia" w:hint="eastAsia"/>
          <w:sz w:val="28"/>
          <w:szCs w:val="28"/>
        </w:rPr>
        <w:t>2</w:t>
      </w:r>
      <w:r w:rsidR="004A77DF" w:rsidRPr="004A77DF">
        <w:rPr>
          <w:rFonts w:asciiTheme="minorEastAsia" w:eastAsiaTheme="minorEastAsia" w:hAnsiTheme="minorEastAsia" w:hint="eastAsia"/>
          <w:sz w:val="28"/>
          <w:szCs w:val="28"/>
        </w:rPr>
        <w:t>月</w:t>
      </w:r>
      <w:r w:rsidR="003863CD">
        <w:rPr>
          <w:rFonts w:asciiTheme="minorEastAsia" w:eastAsiaTheme="minorEastAsia" w:hAnsiTheme="minorEastAsia" w:hint="eastAsia"/>
          <w:sz w:val="28"/>
          <w:szCs w:val="28"/>
        </w:rPr>
        <w:t>20</w:t>
      </w:r>
      <w:r w:rsidR="004A77DF" w:rsidRPr="004A77DF">
        <w:rPr>
          <w:rFonts w:asciiTheme="minorEastAsia" w:eastAsiaTheme="minorEastAsia" w:hAnsiTheme="minorEastAsia" w:hint="eastAsia"/>
          <w:sz w:val="28"/>
          <w:szCs w:val="28"/>
        </w:rPr>
        <w:t>日起调整</w:t>
      </w:r>
      <w:r w:rsidR="000E1264">
        <w:rPr>
          <w:rFonts w:asciiTheme="minorEastAsia" w:eastAsiaTheme="minorEastAsia" w:hAnsiTheme="minorEastAsia" w:hint="eastAsia"/>
          <w:sz w:val="28"/>
          <w:szCs w:val="28"/>
        </w:rPr>
        <w:t>部分</w:t>
      </w:r>
      <w:r w:rsidR="004C6BA4" w:rsidRPr="004C6BA4">
        <w:rPr>
          <w:rFonts w:asciiTheme="minorEastAsia" w:eastAsiaTheme="minorEastAsia" w:hAnsiTheme="minorEastAsia" w:hint="eastAsia"/>
          <w:sz w:val="28"/>
          <w:szCs w:val="28"/>
        </w:rPr>
        <w:t>基金申购</w:t>
      </w:r>
      <w:r w:rsidR="00DE2902">
        <w:rPr>
          <w:rFonts w:asciiTheme="minorEastAsia" w:eastAsiaTheme="minorEastAsia" w:hAnsiTheme="minorEastAsia" w:hint="eastAsia"/>
          <w:sz w:val="28"/>
          <w:szCs w:val="28"/>
        </w:rPr>
        <w:t>起点</w:t>
      </w:r>
      <w:r w:rsidR="004C6BA4" w:rsidRPr="004C6BA4">
        <w:rPr>
          <w:rFonts w:asciiTheme="minorEastAsia" w:eastAsiaTheme="minorEastAsia" w:hAnsiTheme="minorEastAsia" w:hint="eastAsia"/>
          <w:sz w:val="28"/>
          <w:szCs w:val="28"/>
        </w:rPr>
        <w:t>金额</w:t>
      </w:r>
      <w:r w:rsidR="00DE2902">
        <w:rPr>
          <w:rFonts w:asciiTheme="minorEastAsia" w:eastAsiaTheme="minorEastAsia" w:hAnsiTheme="minorEastAsia" w:hint="eastAsia"/>
          <w:sz w:val="28"/>
          <w:szCs w:val="28"/>
        </w:rPr>
        <w:t>（</w:t>
      </w:r>
      <w:r w:rsidR="00DE2902" w:rsidRPr="00DE2902">
        <w:rPr>
          <w:rFonts w:asciiTheme="minorEastAsia" w:eastAsiaTheme="minorEastAsia" w:hAnsiTheme="minorEastAsia" w:hint="eastAsia"/>
          <w:sz w:val="28"/>
          <w:szCs w:val="28"/>
        </w:rPr>
        <w:t>包括转换转入、定投</w:t>
      </w:r>
      <w:r w:rsidR="00DE2902">
        <w:rPr>
          <w:rFonts w:asciiTheme="minorEastAsia" w:eastAsiaTheme="minorEastAsia" w:hAnsiTheme="minorEastAsia" w:hint="eastAsia"/>
          <w:sz w:val="28"/>
          <w:szCs w:val="28"/>
        </w:rPr>
        <w:t>）</w:t>
      </w:r>
      <w:r w:rsidR="007D6E34">
        <w:rPr>
          <w:rFonts w:asciiTheme="minorEastAsia" w:eastAsiaTheme="minorEastAsia" w:hAnsiTheme="minorEastAsia" w:hint="eastAsia"/>
          <w:sz w:val="28"/>
          <w:szCs w:val="28"/>
        </w:rPr>
        <w:t>及</w:t>
      </w:r>
      <w:r w:rsidR="007D6E34" w:rsidRPr="00DE2902">
        <w:rPr>
          <w:rFonts w:asciiTheme="minorEastAsia" w:eastAsiaTheme="minorEastAsia" w:hAnsiTheme="minorEastAsia" w:hint="eastAsia"/>
          <w:sz w:val="28"/>
          <w:szCs w:val="28"/>
        </w:rPr>
        <w:t>赎回份额</w:t>
      </w:r>
      <w:r w:rsidR="007D6E34">
        <w:rPr>
          <w:rFonts w:asciiTheme="minorEastAsia" w:eastAsiaTheme="minorEastAsia" w:hAnsiTheme="minorEastAsia" w:hint="eastAsia"/>
          <w:sz w:val="28"/>
          <w:szCs w:val="28"/>
        </w:rPr>
        <w:t>下限（</w:t>
      </w:r>
      <w:r w:rsidR="007D6E34" w:rsidRPr="00DE2902">
        <w:rPr>
          <w:rFonts w:asciiTheme="minorEastAsia" w:eastAsiaTheme="minorEastAsia" w:hAnsiTheme="minorEastAsia" w:hint="eastAsia"/>
          <w:sz w:val="28"/>
          <w:szCs w:val="28"/>
        </w:rPr>
        <w:t>包括转换转出</w:t>
      </w:r>
      <w:r w:rsidR="007D6E34">
        <w:rPr>
          <w:rFonts w:asciiTheme="minorEastAsia" w:eastAsiaTheme="minorEastAsia" w:hAnsiTheme="minorEastAsia" w:hint="eastAsia"/>
          <w:sz w:val="28"/>
          <w:szCs w:val="28"/>
        </w:rPr>
        <w:t>）</w:t>
      </w:r>
      <w:r w:rsidR="004A77DF" w:rsidRPr="004A77DF">
        <w:rPr>
          <w:rFonts w:asciiTheme="minorEastAsia" w:eastAsiaTheme="minorEastAsia" w:hAnsiTheme="minorEastAsia" w:hint="eastAsia"/>
          <w:sz w:val="28"/>
          <w:szCs w:val="28"/>
        </w:rPr>
        <w:t>。</w:t>
      </w:r>
    </w:p>
    <w:p w:rsidR="000E1264" w:rsidRDefault="000E1264" w:rsidP="000E1264">
      <w:pPr>
        <w:pStyle w:val="a7"/>
        <w:numPr>
          <w:ilvl w:val="0"/>
          <w:numId w:val="2"/>
        </w:numPr>
        <w:autoSpaceDE w:val="0"/>
        <w:autoSpaceDN w:val="0"/>
        <w:adjustRightInd w:val="0"/>
        <w:spacing w:line="360" w:lineRule="auto"/>
        <w:ind w:firstLineChars="0"/>
        <w:jc w:val="left"/>
        <w:rPr>
          <w:rFonts w:asciiTheme="minorEastAsia" w:eastAsiaTheme="minorEastAsia" w:hAnsiTheme="minorEastAsia"/>
          <w:b/>
          <w:sz w:val="28"/>
          <w:szCs w:val="28"/>
        </w:rPr>
      </w:pPr>
      <w:r w:rsidRPr="000E1264">
        <w:rPr>
          <w:rFonts w:asciiTheme="minorEastAsia" w:eastAsiaTheme="minorEastAsia" w:hAnsiTheme="minorEastAsia" w:hint="eastAsia"/>
          <w:b/>
          <w:sz w:val="28"/>
          <w:szCs w:val="28"/>
        </w:rPr>
        <w:t>适用基金</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2623"/>
        <w:gridCol w:w="2268"/>
        <w:gridCol w:w="2177"/>
      </w:tblGrid>
      <w:tr w:rsidR="003863CD" w:rsidRPr="003863CD" w:rsidTr="004403A1">
        <w:trPr>
          <w:trHeight w:val="270"/>
        </w:trPr>
        <w:tc>
          <w:tcPr>
            <w:tcW w:w="1361" w:type="dxa"/>
            <w:shd w:val="clear" w:color="auto" w:fill="auto"/>
            <w:noWrap/>
            <w:vAlign w:val="center"/>
          </w:tcPr>
          <w:p w:rsidR="003863CD" w:rsidRPr="003863CD" w:rsidRDefault="003863CD" w:rsidP="005D76EE">
            <w:pPr>
              <w:autoSpaceDE w:val="0"/>
              <w:autoSpaceDN w:val="0"/>
              <w:adjustRightInd w:val="0"/>
              <w:jc w:val="center"/>
              <w:rPr>
                <w:rFonts w:asciiTheme="minorEastAsia" w:eastAsiaTheme="minorEastAsia" w:hAnsiTheme="minorEastAsia"/>
                <w:b/>
                <w:sz w:val="24"/>
                <w:szCs w:val="28"/>
              </w:rPr>
            </w:pPr>
            <w:r w:rsidRPr="003863CD">
              <w:rPr>
                <w:rFonts w:asciiTheme="minorEastAsia" w:eastAsiaTheme="minorEastAsia" w:hAnsiTheme="minorEastAsia" w:hint="eastAsia"/>
                <w:b/>
                <w:sz w:val="24"/>
                <w:szCs w:val="28"/>
              </w:rPr>
              <w:t>基金代码</w:t>
            </w:r>
          </w:p>
        </w:tc>
        <w:tc>
          <w:tcPr>
            <w:tcW w:w="2623" w:type="dxa"/>
            <w:shd w:val="clear" w:color="auto" w:fill="auto"/>
            <w:noWrap/>
            <w:vAlign w:val="center"/>
          </w:tcPr>
          <w:p w:rsidR="003863CD" w:rsidRPr="003863CD" w:rsidRDefault="003863CD" w:rsidP="005D76EE">
            <w:pPr>
              <w:autoSpaceDE w:val="0"/>
              <w:autoSpaceDN w:val="0"/>
              <w:adjustRightInd w:val="0"/>
              <w:jc w:val="center"/>
              <w:rPr>
                <w:rFonts w:asciiTheme="minorEastAsia" w:eastAsiaTheme="minorEastAsia" w:hAnsiTheme="minorEastAsia"/>
                <w:b/>
                <w:sz w:val="24"/>
                <w:szCs w:val="28"/>
              </w:rPr>
            </w:pPr>
            <w:r w:rsidRPr="003863CD">
              <w:rPr>
                <w:rFonts w:asciiTheme="minorEastAsia" w:eastAsiaTheme="minorEastAsia" w:hAnsiTheme="minorEastAsia" w:hint="eastAsia"/>
                <w:b/>
                <w:sz w:val="24"/>
                <w:szCs w:val="28"/>
              </w:rPr>
              <w:t>基金全称</w:t>
            </w:r>
          </w:p>
        </w:tc>
        <w:tc>
          <w:tcPr>
            <w:tcW w:w="2268" w:type="dxa"/>
            <w:vAlign w:val="center"/>
          </w:tcPr>
          <w:p w:rsidR="003863CD" w:rsidRPr="003863CD" w:rsidRDefault="003863CD" w:rsidP="005D76EE">
            <w:pPr>
              <w:autoSpaceDE w:val="0"/>
              <w:autoSpaceDN w:val="0"/>
              <w:adjustRightInd w:val="0"/>
              <w:jc w:val="center"/>
              <w:rPr>
                <w:rFonts w:asciiTheme="minorEastAsia" w:eastAsiaTheme="minorEastAsia" w:hAnsiTheme="minorEastAsia"/>
                <w:b/>
                <w:sz w:val="24"/>
                <w:szCs w:val="28"/>
              </w:rPr>
            </w:pPr>
            <w:r w:rsidRPr="003863CD">
              <w:rPr>
                <w:rFonts w:asciiTheme="minorEastAsia" w:eastAsiaTheme="minorEastAsia" w:hAnsiTheme="minorEastAsia" w:hint="eastAsia"/>
                <w:b/>
                <w:sz w:val="24"/>
                <w:szCs w:val="28"/>
              </w:rPr>
              <w:t>基金简称</w:t>
            </w:r>
          </w:p>
        </w:tc>
        <w:tc>
          <w:tcPr>
            <w:tcW w:w="2177" w:type="dxa"/>
            <w:vAlign w:val="center"/>
          </w:tcPr>
          <w:p w:rsidR="003863CD" w:rsidRPr="003863CD" w:rsidRDefault="003863CD" w:rsidP="005D76EE">
            <w:pPr>
              <w:autoSpaceDE w:val="0"/>
              <w:autoSpaceDN w:val="0"/>
              <w:adjustRightInd w:val="0"/>
              <w:jc w:val="center"/>
              <w:rPr>
                <w:rFonts w:asciiTheme="minorEastAsia" w:eastAsiaTheme="minorEastAsia" w:hAnsiTheme="minorEastAsia"/>
                <w:b/>
                <w:sz w:val="24"/>
                <w:szCs w:val="28"/>
              </w:rPr>
            </w:pPr>
            <w:r w:rsidRPr="003863CD">
              <w:rPr>
                <w:rFonts w:asciiTheme="minorEastAsia" w:eastAsiaTheme="minorEastAsia" w:hAnsiTheme="minorEastAsia" w:hint="eastAsia"/>
                <w:b/>
                <w:sz w:val="24"/>
                <w:szCs w:val="28"/>
              </w:rPr>
              <w:t>调整项</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016065</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建信智远先锋混合型证券投资基金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建信智远先锋</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011507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建信高端装备股票型证券投资基金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建信高端装备</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011506</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建信高端装备股票型证券投资基金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建信高端装备</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005829</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股国际通交易型开放式指数证券投资基金发起式联接基金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w:t>
            </w:r>
            <w:r>
              <w:rPr>
                <w:rFonts w:hint="eastAsia"/>
                <w:color w:val="000000"/>
                <w:sz w:val="22"/>
              </w:rPr>
              <w:t>ETF</w:t>
            </w:r>
            <w:r>
              <w:rPr>
                <w:rFonts w:hint="eastAsia"/>
                <w:color w:val="000000"/>
                <w:sz w:val="22"/>
              </w:rPr>
              <w:t>联接</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005830</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股国际通交易型开放式指数证券投资基金发起式联接基金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w:t>
            </w:r>
            <w:r>
              <w:rPr>
                <w:rFonts w:hint="eastAsia"/>
                <w:color w:val="000000"/>
                <w:sz w:val="22"/>
              </w:rPr>
              <w:t>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005873</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建信创业板交易型开放式指数证券投资基金发起式联接基金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建信创业板</w:t>
            </w:r>
            <w:r>
              <w:rPr>
                <w:rFonts w:hint="eastAsia"/>
                <w:color w:val="000000"/>
                <w:sz w:val="22"/>
              </w:rPr>
              <w:t>ETF</w:t>
            </w:r>
            <w:r>
              <w:rPr>
                <w:rFonts w:hint="eastAsia"/>
                <w:color w:val="000000"/>
                <w:sz w:val="22"/>
              </w:rPr>
              <w:t>联接</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005874</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建信创业板交易型开放式指数证券投资基金发起式联接基金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建信创业板</w:t>
            </w:r>
            <w:r>
              <w:rPr>
                <w:rFonts w:hint="eastAsia"/>
                <w:color w:val="000000"/>
                <w:sz w:val="22"/>
              </w:rPr>
              <w:t>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005880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建信上证</w:t>
            </w:r>
            <w:r>
              <w:rPr>
                <w:rFonts w:hint="eastAsia"/>
                <w:color w:val="000000"/>
                <w:sz w:val="22"/>
              </w:rPr>
              <w:t>50</w:t>
            </w:r>
            <w:r>
              <w:rPr>
                <w:rFonts w:hint="eastAsia"/>
                <w:color w:val="000000"/>
                <w:sz w:val="22"/>
              </w:rPr>
              <w:t>交易型开放</w:t>
            </w:r>
            <w:r>
              <w:rPr>
                <w:rFonts w:hint="eastAsia"/>
                <w:color w:val="000000"/>
                <w:sz w:val="22"/>
              </w:rPr>
              <w:lastRenderedPageBreak/>
              <w:t>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lastRenderedPageBreak/>
              <w:t>建信上证</w:t>
            </w:r>
            <w:r>
              <w:rPr>
                <w:rFonts w:hint="eastAsia"/>
                <w:color w:val="000000"/>
                <w:sz w:val="22"/>
              </w:rPr>
              <w:t>50ETF</w:t>
            </w:r>
            <w:r>
              <w:rPr>
                <w:rFonts w:hint="eastAsia"/>
                <w:color w:val="000000"/>
                <w:sz w:val="22"/>
              </w:rPr>
              <w:t>联接</w:t>
            </w:r>
            <w:r>
              <w:rPr>
                <w:rFonts w:hint="eastAsia"/>
                <w:color w:val="000000"/>
                <w:sz w:val="22"/>
              </w:rPr>
              <w:lastRenderedPageBreak/>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lastRenderedPageBreak/>
              <w:t>申购起点金额（包括</w:t>
            </w:r>
            <w:r w:rsidRPr="007D6E34">
              <w:rPr>
                <w:rFonts w:hint="eastAsia"/>
                <w:color w:val="000000"/>
                <w:szCs w:val="28"/>
              </w:rPr>
              <w:lastRenderedPageBreak/>
              <w:t>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lastRenderedPageBreak/>
              <w:t xml:space="preserve">005881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建信上证</w:t>
            </w:r>
            <w:r>
              <w:rPr>
                <w:rFonts w:hint="eastAsia"/>
                <w:color w:val="000000"/>
                <w:sz w:val="22"/>
              </w:rPr>
              <w:t>50</w:t>
            </w:r>
            <w:r>
              <w:rPr>
                <w:rFonts w:hint="eastAsia"/>
                <w:color w:val="000000"/>
                <w:sz w:val="22"/>
              </w:rPr>
              <w:t>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建信上证</w:t>
            </w:r>
            <w:r>
              <w:rPr>
                <w:rFonts w:hint="eastAsia"/>
                <w:color w:val="000000"/>
                <w:sz w:val="22"/>
              </w:rPr>
              <w:t>50ETF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006363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建信深证基本面</w:t>
            </w:r>
            <w:r>
              <w:rPr>
                <w:rFonts w:hint="eastAsia"/>
                <w:color w:val="000000"/>
                <w:sz w:val="22"/>
              </w:rPr>
              <w:t>60</w:t>
            </w:r>
            <w:r>
              <w:rPr>
                <w:rFonts w:hint="eastAsia"/>
                <w:color w:val="000000"/>
                <w:sz w:val="22"/>
              </w:rPr>
              <w:t>交易型开放式指数证券投资基金联接基金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建信深证基本面</w:t>
            </w:r>
            <w:r>
              <w:rPr>
                <w:rFonts w:hint="eastAsia"/>
                <w:color w:val="000000"/>
                <w:sz w:val="22"/>
              </w:rPr>
              <w:t>60ETF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007671</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建信中证红利潜力指数证券投资基金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建信中证红利潜力指数</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007672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建信中证红利潜力指数证券投资基金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建信中证红利潜力指数</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007806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股指数增强型证券投资基金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股指数增强</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007807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股指数增强型证券投资基金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股指数增强</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008827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建信易盛郑商所能源化工期货交易型开放式指数证券投资基金发起式联接基金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建信易盛郑商所能源化工期货</w:t>
            </w:r>
            <w:r>
              <w:rPr>
                <w:rFonts w:hint="eastAsia"/>
                <w:color w:val="000000"/>
                <w:sz w:val="22"/>
              </w:rPr>
              <w:t>ETF</w:t>
            </w:r>
            <w:r>
              <w:rPr>
                <w:rFonts w:hint="eastAsia"/>
                <w:color w:val="000000"/>
                <w:sz w:val="22"/>
              </w:rPr>
              <w:t>联接</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008828</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建信易盛郑商所能源化工期货交易型开放式指数证券投资基金发起式联接基金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建信易盛郑商所能源化工期货</w:t>
            </w:r>
            <w:r>
              <w:rPr>
                <w:rFonts w:hint="eastAsia"/>
                <w:color w:val="000000"/>
                <w:sz w:val="22"/>
              </w:rPr>
              <w:t>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012570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建信恒生科技指数型发起式证券投资基金</w:t>
            </w:r>
            <w:r>
              <w:rPr>
                <w:rFonts w:hint="eastAsia"/>
                <w:color w:val="000000"/>
                <w:sz w:val="22"/>
              </w:rPr>
              <w:t>(QDII)</w:t>
            </w:r>
          </w:p>
        </w:tc>
        <w:tc>
          <w:tcPr>
            <w:tcW w:w="2268" w:type="dxa"/>
            <w:vAlign w:val="center"/>
          </w:tcPr>
          <w:p w:rsidR="007D6E34" w:rsidRDefault="007D6E34">
            <w:pPr>
              <w:rPr>
                <w:rFonts w:ascii="宋体" w:hAnsi="宋体" w:cs="宋体"/>
                <w:color w:val="000000"/>
                <w:sz w:val="22"/>
              </w:rPr>
            </w:pPr>
            <w:r>
              <w:rPr>
                <w:rFonts w:hint="eastAsia"/>
                <w:color w:val="000000"/>
                <w:sz w:val="22"/>
              </w:rPr>
              <w:t>建信恒生科技指数</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012571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建信恒生科技指数型发起式证券投资基金</w:t>
            </w:r>
            <w:r>
              <w:rPr>
                <w:rFonts w:hint="eastAsia"/>
                <w:color w:val="000000"/>
                <w:sz w:val="22"/>
              </w:rPr>
              <w:t>(QDII)</w:t>
            </w:r>
          </w:p>
        </w:tc>
        <w:tc>
          <w:tcPr>
            <w:tcW w:w="2268" w:type="dxa"/>
            <w:vAlign w:val="center"/>
          </w:tcPr>
          <w:p w:rsidR="007D6E34" w:rsidRDefault="007D6E34">
            <w:pPr>
              <w:rPr>
                <w:rFonts w:ascii="宋体" w:hAnsi="宋体" w:cs="宋体"/>
                <w:color w:val="000000"/>
                <w:sz w:val="22"/>
              </w:rPr>
            </w:pPr>
            <w:r>
              <w:rPr>
                <w:rFonts w:hint="eastAsia"/>
                <w:color w:val="000000"/>
                <w:sz w:val="22"/>
              </w:rPr>
              <w:t>建信恒生科技指数</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012645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建信中证全指证券公司</w:t>
            </w:r>
            <w:r>
              <w:rPr>
                <w:rFonts w:hint="eastAsia"/>
                <w:color w:val="000000"/>
                <w:sz w:val="22"/>
              </w:rPr>
              <w:lastRenderedPageBreak/>
              <w:t>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lastRenderedPageBreak/>
              <w:t>建信中证全指证券公</w:t>
            </w:r>
            <w:r>
              <w:rPr>
                <w:rFonts w:hint="eastAsia"/>
                <w:color w:val="000000"/>
                <w:sz w:val="22"/>
              </w:rPr>
              <w:lastRenderedPageBreak/>
              <w:t>司</w:t>
            </w:r>
            <w:r>
              <w:rPr>
                <w:rFonts w:hint="eastAsia"/>
                <w:color w:val="000000"/>
                <w:sz w:val="22"/>
              </w:rPr>
              <w:t>ETF</w:t>
            </w:r>
            <w:r>
              <w:rPr>
                <w:rFonts w:hint="eastAsia"/>
                <w:color w:val="000000"/>
                <w:sz w:val="22"/>
              </w:rPr>
              <w:t>联接</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lastRenderedPageBreak/>
              <w:t>申购起点金额（包括</w:t>
            </w:r>
            <w:r w:rsidRPr="007D6E34">
              <w:rPr>
                <w:rFonts w:hint="eastAsia"/>
                <w:color w:val="000000"/>
                <w:szCs w:val="28"/>
              </w:rPr>
              <w:lastRenderedPageBreak/>
              <w:t>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lastRenderedPageBreak/>
              <w:t xml:space="preserve">012646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建信中证全指证券公司交易型开放式指数证券投资基金发起式联接基金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建信中证全指证券公司</w:t>
            </w:r>
            <w:r>
              <w:rPr>
                <w:rFonts w:hint="eastAsia"/>
                <w:color w:val="000000"/>
                <w:sz w:val="22"/>
              </w:rPr>
              <w:t>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012712</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建信沪深</w:t>
            </w:r>
            <w:r>
              <w:rPr>
                <w:rFonts w:hint="eastAsia"/>
                <w:color w:val="000000"/>
                <w:sz w:val="22"/>
              </w:rPr>
              <w:t>300</w:t>
            </w:r>
            <w:r>
              <w:rPr>
                <w:rFonts w:hint="eastAsia"/>
                <w:color w:val="000000"/>
                <w:sz w:val="22"/>
              </w:rPr>
              <w:t>红利交易型开放式指数证券投资基金发起式联接基金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建信沪深</w:t>
            </w:r>
            <w:r>
              <w:rPr>
                <w:rFonts w:hint="eastAsia"/>
                <w:color w:val="000000"/>
                <w:sz w:val="22"/>
              </w:rPr>
              <w:t>300</w:t>
            </w:r>
            <w:r>
              <w:rPr>
                <w:rFonts w:hint="eastAsia"/>
                <w:color w:val="000000"/>
                <w:sz w:val="22"/>
              </w:rPr>
              <w:t>红利</w:t>
            </w:r>
            <w:r>
              <w:rPr>
                <w:rFonts w:hint="eastAsia"/>
                <w:color w:val="000000"/>
                <w:sz w:val="22"/>
              </w:rPr>
              <w:t>ETF</w:t>
            </w:r>
            <w:r>
              <w:rPr>
                <w:rFonts w:hint="eastAsia"/>
                <w:color w:val="000000"/>
                <w:sz w:val="22"/>
              </w:rPr>
              <w:t>联接</w:t>
            </w:r>
            <w:r>
              <w:rPr>
                <w:rFonts w:hint="eastAsia"/>
                <w:color w:val="000000"/>
                <w:sz w:val="22"/>
              </w:rPr>
              <w:t>A</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012713</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建信沪深</w:t>
            </w:r>
            <w:r>
              <w:rPr>
                <w:rFonts w:hint="eastAsia"/>
                <w:color w:val="000000"/>
                <w:sz w:val="22"/>
              </w:rPr>
              <w:t>300</w:t>
            </w:r>
            <w:r>
              <w:rPr>
                <w:rFonts w:hint="eastAsia"/>
                <w:color w:val="000000"/>
                <w:sz w:val="22"/>
              </w:rPr>
              <w:t>红利交易型开放式指数证券投资基金发起式联接基金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建信沪深</w:t>
            </w:r>
            <w:r>
              <w:rPr>
                <w:rFonts w:hint="eastAsia"/>
                <w:color w:val="000000"/>
                <w:sz w:val="22"/>
              </w:rPr>
              <w:t>300</w:t>
            </w:r>
            <w:r>
              <w:rPr>
                <w:rFonts w:hint="eastAsia"/>
                <w:color w:val="000000"/>
                <w:sz w:val="22"/>
              </w:rPr>
              <w:t>红利</w:t>
            </w:r>
            <w:r>
              <w:rPr>
                <w:rFonts w:hint="eastAsia"/>
                <w:color w:val="000000"/>
                <w:sz w:val="22"/>
              </w:rPr>
              <w:t>ETF</w:t>
            </w:r>
            <w:r>
              <w:rPr>
                <w:rFonts w:hint="eastAsia"/>
                <w:color w:val="000000"/>
                <w:sz w:val="22"/>
              </w:rPr>
              <w:t>联接</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012752</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建信纳斯达克</w:t>
            </w:r>
            <w:r>
              <w:rPr>
                <w:rFonts w:hint="eastAsia"/>
                <w:color w:val="000000"/>
                <w:sz w:val="22"/>
              </w:rPr>
              <w:t>100</w:t>
            </w:r>
            <w:r>
              <w:rPr>
                <w:rFonts w:hint="eastAsia"/>
                <w:color w:val="000000"/>
                <w:sz w:val="22"/>
              </w:rPr>
              <w:t>指数型证券投资基金</w:t>
            </w:r>
            <w:r>
              <w:rPr>
                <w:rFonts w:hint="eastAsia"/>
                <w:color w:val="000000"/>
                <w:sz w:val="22"/>
              </w:rPr>
              <w:t>(QDII)</w:t>
            </w:r>
          </w:p>
        </w:tc>
        <w:tc>
          <w:tcPr>
            <w:tcW w:w="2268" w:type="dxa"/>
            <w:vAlign w:val="center"/>
          </w:tcPr>
          <w:p w:rsidR="007D6E34" w:rsidRDefault="007D6E34">
            <w:pPr>
              <w:rPr>
                <w:rFonts w:ascii="宋体" w:hAnsi="宋体" w:cs="宋体"/>
                <w:color w:val="000000"/>
                <w:sz w:val="22"/>
              </w:rPr>
            </w:pPr>
            <w:r>
              <w:rPr>
                <w:rFonts w:hint="eastAsia"/>
                <w:color w:val="000000"/>
                <w:sz w:val="22"/>
              </w:rPr>
              <w:t>建信纳斯达克</w:t>
            </w:r>
            <w:r>
              <w:rPr>
                <w:rFonts w:hint="eastAsia"/>
                <w:color w:val="000000"/>
                <w:sz w:val="22"/>
              </w:rPr>
              <w:t>100</w:t>
            </w:r>
            <w:r>
              <w:rPr>
                <w:rFonts w:hint="eastAsia"/>
                <w:color w:val="000000"/>
                <w:sz w:val="22"/>
              </w:rPr>
              <w:t>人民币</w:t>
            </w:r>
            <w:r>
              <w:rPr>
                <w:rFonts w:hint="eastAsia"/>
                <w:color w:val="000000"/>
                <w:sz w:val="22"/>
              </w:rPr>
              <w:t>C</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013443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建信创业板交易型开放式指数证券投资基金发起式联接基金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建信创业板</w:t>
            </w:r>
            <w:r>
              <w:rPr>
                <w:rFonts w:hint="eastAsia"/>
                <w:color w:val="000000"/>
                <w:sz w:val="22"/>
              </w:rPr>
              <w:t>ETF</w:t>
            </w:r>
            <w:r>
              <w:rPr>
                <w:rFonts w:hint="eastAsia"/>
                <w:color w:val="000000"/>
                <w:sz w:val="22"/>
              </w:rPr>
              <w:t>联接</w:t>
            </w:r>
            <w:r>
              <w:rPr>
                <w:rFonts w:hint="eastAsia"/>
                <w:color w:val="000000"/>
                <w:sz w:val="22"/>
              </w:rPr>
              <w:t>E</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 xml:space="preserve">013444 </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建信上证</w:t>
            </w:r>
            <w:r>
              <w:rPr>
                <w:rFonts w:hint="eastAsia"/>
                <w:color w:val="000000"/>
                <w:sz w:val="22"/>
              </w:rPr>
              <w:t>50</w:t>
            </w:r>
            <w:r>
              <w:rPr>
                <w:rFonts w:hint="eastAsia"/>
                <w:color w:val="000000"/>
                <w:sz w:val="22"/>
              </w:rPr>
              <w:t>交易型开放式指数证券投资基金发起式联接基金</w:t>
            </w:r>
          </w:p>
        </w:tc>
        <w:tc>
          <w:tcPr>
            <w:tcW w:w="2268" w:type="dxa"/>
            <w:vAlign w:val="center"/>
          </w:tcPr>
          <w:p w:rsidR="007D6E34" w:rsidRDefault="007D6E34">
            <w:pPr>
              <w:rPr>
                <w:rFonts w:ascii="宋体" w:hAnsi="宋体" w:cs="宋体"/>
                <w:color w:val="000000"/>
                <w:sz w:val="22"/>
              </w:rPr>
            </w:pPr>
            <w:r>
              <w:rPr>
                <w:rFonts w:hint="eastAsia"/>
                <w:color w:val="000000"/>
                <w:sz w:val="22"/>
              </w:rPr>
              <w:t>建信上证</w:t>
            </w:r>
            <w:r>
              <w:rPr>
                <w:rFonts w:hint="eastAsia"/>
                <w:color w:val="000000"/>
                <w:sz w:val="22"/>
              </w:rPr>
              <w:t>50ETF</w:t>
            </w:r>
            <w:r>
              <w:rPr>
                <w:rFonts w:hint="eastAsia"/>
                <w:color w:val="000000"/>
                <w:sz w:val="22"/>
              </w:rPr>
              <w:t>联接</w:t>
            </w:r>
            <w:r>
              <w:rPr>
                <w:rFonts w:hint="eastAsia"/>
                <w:color w:val="000000"/>
                <w:sz w:val="22"/>
              </w:rPr>
              <w:t>E</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7D6E34" w:rsidRPr="003863CD" w:rsidTr="006A6BB6">
        <w:trPr>
          <w:trHeight w:val="270"/>
        </w:trPr>
        <w:tc>
          <w:tcPr>
            <w:tcW w:w="1361" w:type="dxa"/>
            <w:shd w:val="clear" w:color="auto" w:fill="auto"/>
            <w:noWrap/>
            <w:vAlign w:val="center"/>
          </w:tcPr>
          <w:p w:rsidR="007D6E34" w:rsidRDefault="007D6E34">
            <w:pPr>
              <w:jc w:val="center"/>
              <w:rPr>
                <w:rFonts w:ascii="宋体" w:hAnsi="宋体" w:cs="宋体"/>
                <w:color w:val="000000"/>
                <w:sz w:val="22"/>
              </w:rPr>
            </w:pPr>
            <w:r>
              <w:rPr>
                <w:rFonts w:hint="eastAsia"/>
                <w:color w:val="000000"/>
                <w:sz w:val="22"/>
              </w:rPr>
              <w:t>165312</w:t>
            </w:r>
          </w:p>
        </w:tc>
        <w:tc>
          <w:tcPr>
            <w:tcW w:w="2623" w:type="dxa"/>
            <w:shd w:val="clear" w:color="auto" w:fill="auto"/>
            <w:noWrap/>
            <w:vAlign w:val="center"/>
          </w:tcPr>
          <w:p w:rsidR="007D6E34" w:rsidRDefault="007D6E34">
            <w:pPr>
              <w:rPr>
                <w:rFonts w:ascii="宋体" w:hAnsi="宋体" w:cs="宋体"/>
                <w:color w:val="000000"/>
                <w:sz w:val="22"/>
              </w:rPr>
            </w:pPr>
            <w:r>
              <w:rPr>
                <w:rFonts w:hint="eastAsia"/>
                <w:color w:val="000000"/>
                <w:sz w:val="22"/>
              </w:rPr>
              <w:t>建信央视财经</w:t>
            </w:r>
            <w:r>
              <w:rPr>
                <w:rFonts w:hint="eastAsia"/>
                <w:color w:val="000000"/>
                <w:sz w:val="22"/>
              </w:rPr>
              <w:t>50</w:t>
            </w:r>
            <w:r>
              <w:rPr>
                <w:rFonts w:hint="eastAsia"/>
                <w:color w:val="000000"/>
                <w:sz w:val="22"/>
              </w:rPr>
              <w:t>指数证券投资基金</w:t>
            </w:r>
            <w:r>
              <w:rPr>
                <w:rFonts w:hint="eastAsia"/>
                <w:color w:val="000000"/>
                <w:sz w:val="22"/>
              </w:rPr>
              <w:t>(LOF)</w:t>
            </w:r>
          </w:p>
        </w:tc>
        <w:tc>
          <w:tcPr>
            <w:tcW w:w="2268" w:type="dxa"/>
            <w:vAlign w:val="center"/>
          </w:tcPr>
          <w:p w:rsidR="007D6E34" w:rsidRDefault="007D6E34">
            <w:pPr>
              <w:rPr>
                <w:rFonts w:ascii="宋体" w:hAnsi="宋体" w:cs="宋体"/>
                <w:color w:val="000000"/>
                <w:sz w:val="22"/>
              </w:rPr>
            </w:pPr>
            <w:r>
              <w:rPr>
                <w:rFonts w:hint="eastAsia"/>
                <w:color w:val="000000"/>
                <w:sz w:val="22"/>
              </w:rPr>
              <w:t>建信央视财经</w:t>
            </w:r>
            <w:r>
              <w:rPr>
                <w:rFonts w:hint="eastAsia"/>
                <w:color w:val="000000"/>
                <w:sz w:val="22"/>
              </w:rPr>
              <w:t>50</w:t>
            </w:r>
          </w:p>
        </w:tc>
        <w:tc>
          <w:tcPr>
            <w:tcW w:w="2177" w:type="dxa"/>
            <w:vAlign w:val="center"/>
          </w:tcPr>
          <w:p w:rsidR="007D6E34" w:rsidRPr="007D6E34" w:rsidRDefault="007D6E34">
            <w:pPr>
              <w:rPr>
                <w:rFonts w:ascii="宋体" w:hAnsi="宋体" w:cs="宋体"/>
                <w:color w:val="000000"/>
                <w:szCs w:val="28"/>
              </w:rPr>
            </w:pPr>
            <w:r w:rsidRPr="007D6E34">
              <w:rPr>
                <w:rFonts w:hint="eastAsia"/>
                <w:color w:val="000000"/>
                <w:szCs w:val="28"/>
              </w:rPr>
              <w:t>申购起点金额（包括转换转入、定投）、赎回份额下限（包括转换转出）</w:t>
            </w:r>
          </w:p>
        </w:tc>
      </w:tr>
      <w:tr w:rsidR="003863CD" w:rsidRPr="003863CD" w:rsidTr="006A6BB6">
        <w:trPr>
          <w:trHeight w:val="270"/>
        </w:trPr>
        <w:tc>
          <w:tcPr>
            <w:tcW w:w="1361" w:type="dxa"/>
            <w:shd w:val="clear" w:color="auto" w:fill="auto"/>
            <w:noWrap/>
            <w:vAlign w:val="center"/>
          </w:tcPr>
          <w:p w:rsidR="003863CD" w:rsidRDefault="003863CD">
            <w:pPr>
              <w:jc w:val="center"/>
              <w:rPr>
                <w:rFonts w:ascii="宋体" w:hAnsi="宋体" w:cs="宋体"/>
                <w:color w:val="000000"/>
                <w:sz w:val="22"/>
              </w:rPr>
            </w:pPr>
            <w:r>
              <w:rPr>
                <w:rFonts w:hint="eastAsia"/>
                <w:color w:val="000000"/>
                <w:sz w:val="22"/>
              </w:rPr>
              <w:t xml:space="preserve">539001 </w:t>
            </w:r>
          </w:p>
        </w:tc>
        <w:tc>
          <w:tcPr>
            <w:tcW w:w="2623" w:type="dxa"/>
            <w:shd w:val="clear" w:color="auto" w:fill="auto"/>
            <w:noWrap/>
            <w:vAlign w:val="center"/>
          </w:tcPr>
          <w:p w:rsidR="003863CD" w:rsidRDefault="003863CD">
            <w:pPr>
              <w:rPr>
                <w:rFonts w:ascii="宋体" w:hAnsi="宋体" w:cs="宋体"/>
                <w:color w:val="000000"/>
                <w:sz w:val="22"/>
              </w:rPr>
            </w:pPr>
            <w:r>
              <w:rPr>
                <w:rFonts w:hint="eastAsia"/>
                <w:color w:val="000000"/>
                <w:sz w:val="22"/>
              </w:rPr>
              <w:t>建信纳斯达克</w:t>
            </w:r>
            <w:r>
              <w:rPr>
                <w:rFonts w:hint="eastAsia"/>
                <w:color w:val="000000"/>
                <w:sz w:val="22"/>
              </w:rPr>
              <w:t>100</w:t>
            </w:r>
            <w:r>
              <w:rPr>
                <w:rFonts w:hint="eastAsia"/>
                <w:color w:val="000000"/>
                <w:sz w:val="22"/>
              </w:rPr>
              <w:t>指数型证券投资基金</w:t>
            </w:r>
            <w:r>
              <w:rPr>
                <w:rFonts w:hint="eastAsia"/>
                <w:color w:val="000000"/>
                <w:sz w:val="22"/>
              </w:rPr>
              <w:t>(QDII)</w:t>
            </w:r>
          </w:p>
        </w:tc>
        <w:tc>
          <w:tcPr>
            <w:tcW w:w="2268" w:type="dxa"/>
            <w:vAlign w:val="center"/>
          </w:tcPr>
          <w:p w:rsidR="003863CD" w:rsidRDefault="003863CD">
            <w:pPr>
              <w:rPr>
                <w:rFonts w:ascii="宋体" w:hAnsi="宋体" w:cs="宋体"/>
                <w:color w:val="000000"/>
                <w:sz w:val="22"/>
              </w:rPr>
            </w:pPr>
            <w:r>
              <w:rPr>
                <w:rFonts w:hint="eastAsia"/>
                <w:color w:val="000000"/>
                <w:sz w:val="22"/>
              </w:rPr>
              <w:t>建信纳斯达克</w:t>
            </w:r>
            <w:r>
              <w:rPr>
                <w:rFonts w:hint="eastAsia"/>
                <w:color w:val="000000"/>
                <w:sz w:val="22"/>
              </w:rPr>
              <w:t>100</w:t>
            </w:r>
            <w:r>
              <w:rPr>
                <w:rFonts w:hint="eastAsia"/>
                <w:color w:val="000000"/>
                <w:sz w:val="22"/>
              </w:rPr>
              <w:t>人民币</w:t>
            </w:r>
            <w:r>
              <w:rPr>
                <w:rFonts w:hint="eastAsia"/>
                <w:color w:val="000000"/>
                <w:sz w:val="22"/>
              </w:rPr>
              <w:t>A</w:t>
            </w:r>
          </w:p>
        </w:tc>
        <w:tc>
          <w:tcPr>
            <w:tcW w:w="2177" w:type="dxa"/>
            <w:vAlign w:val="center"/>
          </w:tcPr>
          <w:p w:rsidR="003863CD" w:rsidRDefault="007D6E34">
            <w:pPr>
              <w:rPr>
                <w:rFonts w:ascii="宋体" w:hAnsi="宋体" w:cs="宋体"/>
                <w:color w:val="000000"/>
                <w:sz w:val="22"/>
              </w:rPr>
            </w:pPr>
            <w:r w:rsidRPr="007D6E34">
              <w:rPr>
                <w:rFonts w:hint="eastAsia"/>
                <w:color w:val="000000"/>
                <w:szCs w:val="28"/>
              </w:rPr>
              <w:t>申购起点金额（包括转换转入、定投）、赎回份额下限（包括转换转出）</w:t>
            </w:r>
          </w:p>
        </w:tc>
      </w:tr>
    </w:tbl>
    <w:p w:rsidR="005836B5" w:rsidRDefault="004A77DF" w:rsidP="00117F96">
      <w:pPr>
        <w:pStyle w:val="a7"/>
        <w:numPr>
          <w:ilvl w:val="0"/>
          <w:numId w:val="2"/>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调整</w:t>
      </w:r>
      <w:r w:rsidR="00863F47">
        <w:rPr>
          <w:rFonts w:asciiTheme="minorEastAsia" w:eastAsiaTheme="minorEastAsia" w:hAnsiTheme="minorEastAsia" w:hint="eastAsia"/>
          <w:b/>
          <w:sz w:val="28"/>
          <w:szCs w:val="28"/>
        </w:rPr>
        <w:t>后</w:t>
      </w:r>
      <w:r>
        <w:rPr>
          <w:rFonts w:asciiTheme="minorEastAsia" w:eastAsiaTheme="minorEastAsia" w:hAnsiTheme="minorEastAsia" w:hint="eastAsia"/>
          <w:b/>
          <w:sz w:val="28"/>
          <w:szCs w:val="28"/>
        </w:rPr>
        <w:t>内容</w:t>
      </w:r>
    </w:p>
    <w:tbl>
      <w:tblPr>
        <w:tblStyle w:val="ac"/>
        <w:tblW w:w="8647" w:type="dxa"/>
        <w:tblInd w:w="-34" w:type="dxa"/>
        <w:tblLook w:val="04A0"/>
      </w:tblPr>
      <w:tblGrid>
        <w:gridCol w:w="3403"/>
        <w:gridCol w:w="5244"/>
      </w:tblGrid>
      <w:tr w:rsidR="00974921" w:rsidTr="00727C00">
        <w:tc>
          <w:tcPr>
            <w:tcW w:w="3403" w:type="dxa"/>
          </w:tcPr>
          <w:p w:rsidR="00974921" w:rsidRPr="00974921" w:rsidRDefault="00974921" w:rsidP="00B824CB">
            <w:pPr>
              <w:autoSpaceDE w:val="0"/>
              <w:autoSpaceDN w:val="0"/>
              <w:adjustRightInd w:val="0"/>
              <w:jc w:val="left"/>
              <w:rPr>
                <w:rFonts w:asciiTheme="minorEastAsia" w:eastAsiaTheme="minorEastAsia" w:hAnsiTheme="minorEastAsia"/>
                <w:b/>
                <w:sz w:val="28"/>
                <w:szCs w:val="28"/>
              </w:rPr>
            </w:pPr>
            <w:r w:rsidRPr="00974921">
              <w:rPr>
                <w:rFonts w:asciiTheme="minorEastAsia" w:eastAsiaTheme="minorEastAsia" w:hAnsiTheme="minorEastAsia" w:hint="eastAsia"/>
                <w:b/>
                <w:sz w:val="28"/>
                <w:szCs w:val="28"/>
              </w:rPr>
              <w:t>基金简称</w:t>
            </w:r>
          </w:p>
        </w:tc>
        <w:tc>
          <w:tcPr>
            <w:tcW w:w="5244" w:type="dxa"/>
          </w:tcPr>
          <w:p w:rsidR="00974921" w:rsidRPr="00974921" w:rsidRDefault="00974921" w:rsidP="00117F96">
            <w:pPr>
              <w:autoSpaceDE w:val="0"/>
              <w:autoSpaceDN w:val="0"/>
              <w:adjustRightInd w:val="0"/>
              <w:jc w:val="center"/>
              <w:rPr>
                <w:rFonts w:asciiTheme="minorEastAsia" w:eastAsiaTheme="minorEastAsia" w:hAnsiTheme="minorEastAsia"/>
                <w:b/>
                <w:sz w:val="28"/>
                <w:szCs w:val="28"/>
              </w:rPr>
            </w:pPr>
            <w:r w:rsidRPr="00974921">
              <w:rPr>
                <w:rFonts w:asciiTheme="minorEastAsia" w:eastAsiaTheme="minorEastAsia" w:hAnsiTheme="minorEastAsia" w:hint="eastAsia"/>
                <w:b/>
                <w:sz w:val="28"/>
                <w:szCs w:val="28"/>
              </w:rPr>
              <w:t>调整后内容</w:t>
            </w:r>
          </w:p>
        </w:tc>
      </w:tr>
      <w:tr w:rsidR="00812CE5" w:rsidTr="00727C00">
        <w:tc>
          <w:tcPr>
            <w:tcW w:w="3403" w:type="dxa"/>
            <w:vAlign w:val="center"/>
          </w:tcPr>
          <w:p w:rsidR="00727C00" w:rsidRPr="00727C00" w:rsidRDefault="00727C00" w:rsidP="00727C00">
            <w:pPr>
              <w:autoSpaceDE w:val="0"/>
              <w:autoSpaceDN w:val="0"/>
              <w:adjustRightInd w:val="0"/>
              <w:rPr>
                <w:rFonts w:asciiTheme="minorEastAsia" w:eastAsiaTheme="minorEastAsia" w:hAnsiTheme="minorEastAsia"/>
                <w:szCs w:val="28"/>
              </w:rPr>
            </w:pPr>
            <w:r w:rsidRPr="00727C00">
              <w:rPr>
                <w:rFonts w:asciiTheme="minorEastAsia" w:eastAsiaTheme="minorEastAsia" w:hAnsiTheme="minorEastAsia" w:hint="eastAsia"/>
                <w:szCs w:val="28"/>
              </w:rPr>
              <w:t>建信智远先锋C、建信高端装备C、建信高端装备A、建信MSCI中国A股ETF联接A、建信MSCI中国A股ETF联接C、建信创业板ETF联接A、建信创业板ETF联接C、建信上证50ETF联接A、建信上证50ETF联接C、建信深证基本面60ETF联接C、建信中证红利潜力指数A、建信中证红利潜力指数C、建信MSCI中国A股指数增强A建信MSCI中国A股指数增强C</w:t>
            </w:r>
            <w:r>
              <w:rPr>
                <w:rFonts w:asciiTheme="minorEastAsia" w:eastAsiaTheme="minorEastAsia" w:hAnsiTheme="minorEastAsia" w:hint="eastAsia"/>
                <w:szCs w:val="28"/>
              </w:rPr>
              <w:t>、</w:t>
            </w:r>
          </w:p>
          <w:p w:rsidR="00812CE5" w:rsidRPr="00727C00" w:rsidRDefault="00727C00" w:rsidP="00727C00">
            <w:pPr>
              <w:autoSpaceDE w:val="0"/>
              <w:autoSpaceDN w:val="0"/>
              <w:adjustRightInd w:val="0"/>
              <w:rPr>
                <w:rFonts w:asciiTheme="minorEastAsia" w:eastAsiaTheme="minorEastAsia" w:hAnsiTheme="minorEastAsia"/>
                <w:szCs w:val="28"/>
              </w:rPr>
            </w:pPr>
            <w:r w:rsidRPr="00727C00">
              <w:rPr>
                <w:rFonts w:asciiTheme="minorEastAsia" w:eastAsiaTheme="minorEastAsia" w:hAnsiTheme="minorEastAsia" w:hint="eastAsia"/>
                <w:szCs w:val="28"/>
              </w:rPr>
              <w:t>建信易盛郑商所能源化工期货ETF联接A</w:t>
            </w:r>
            <w:r>
              <w:rPr>
                <w:rFonts w:asciiTheme="minorEastAsia" w:eastAsiaTheme="minorEastAsia" w:hAnsiTheme="minorEastAsia" w:hint="eastAsia"/>
                <w:szCs w:val="28"/>
              </w:rPr>
              <w:t>、</w:t>
            </w:r>
            <w:r w:rsidRPr="00727C00">
              <w:rPr>
                <w:rFonts w:asciiTheme="minorEastAsia" w:eastAsiaTheme="minorEastAsia" w:hAnsiTheme="minorEastAsia" w:hint="eastAsia"/>
                <w:szCs w:val="28"/>
              </w:rPr>
              <w:t>建信易盛郑商所能源化工期货ETF联接C、建信恒生科技指数A、建信恒生科技指数C、建信中证全指证券公司ETF联接A、建信中证全指证券公司ETF联接C、建信沪深300红利ETF联接A、建信沪深300红利ETF联接C、建信纳斯达克100人民币C、建信创业板ETF联接E</w:t>
            </w:r>
            <w:r>
              <w:rPr>
                <w:rFonts w:asciiTheme="minorEastAsia" w:eastAsiaTheme="minorEastAsia" w:hAnsiTheme="minorEastAsia" w:hint="eastAsia"/>
                <w:szCs w:val="28"/>
              </w:rPr>
              <w:t>、</w:t>
            </w:r>
            <w:r w:rsidRPr="00727C00">
              <w:rPr>
                <w:rFonts w:asciiTheme="minorEastAsia" w:eastAsiaTheme="minorEastAsia" w:hAnsiTheme="minorEastAsia" w:hint="eastAsia"/>
                <w:szCs w:val="28"/>
              </w:rPr>
              <w:t>建信上证50ETF联接E、建信央视财经50、建信纳斯达克100人民币A</w:t>
            </w:r>
          </w:p>
        </w:tc>
        <w:tc>
          <w:tcPr>
            <w:tcW w:w="5244" w:type="dxa"/>
            <w:vAlign w:val="center"/>
          </w:tcPr>
          <w:p w:rsidR="00DC440B" w:rsidRDefault="00AF3B9C" w:rsidP="00A830F4">
            <w:pPr>
              <w:ind w:firstLineChars="200" w:firstLine="560"/>
              <w:rPr>
                <w:rFonts w:asciiTheme="minorEastAsia" w:eastAsiaTheme="minorEastAsia" w:hAnsiTheme="minorEastAsia"/>
                <w:sz w:val="28"/>
                <w:szCs w:val="28"/>
              </w:rPr>
            </w:pPr>
            <w:r w:rsidRPr="00AF3B9C">
              <w:rPr>
                <w:rFonts w:asciiTheme="minorEastAsia" w:eastAsiaTheme="minorEastAsia" w:hAnsiTheme="minorEastAsia" w:hint="eastAsia"/>
                <w:sz w:val="28"/>
                <w:szCs w:val="28"/>
              </w:rPr>
              <w:t>其他销售机构每个基金账户单笔申购最低金额为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元人民币，其他销售机构另有规定</w:t>
            </w:r>
            <w:r w:rsidR="00473928" w:rsidRPr="00AF3B9C">
              <w:rPr>
                <w:rFonts w:asciiTheme="minorEastAsia" w:eastAsiaTheme="minorEastAsia" w:hAnsiTheme="minorEastAsia" w:hint="eastAsia"/>
                <w:sz w:val="28"/>
                <w:szCs w:val="28"/>
              </w:rPr>
              <w:t>单笔申购最低金额</w:t>
            </w:r>
            <w:r w:rsidR="00473928">
              <w:rPr>
                <w:rFonts w:asciiTheme="minorEastAsia" w:eastAsiaTheme="minorEastAsia" w:hAnsiTheme="minorEastAsia" w:hint="eastAsia"/>
                <w:sz w:val="28"/>
                <w:szCs w:val="28"/>
              </w:rPr>
              <w:t>高于1</w:t>
            </w:r>
            <w:r w:rsidR="00473928" w:rsidRPr="00AF3B9C">
              <w:rPr>
                <w:rFonts w:asciiTheme="minorEastAsia" w:eastAsiaTheme="minorEastAsia" w:hAnsiTheme="minorEastAsia" w:hint="eastAsia"/>
                <w:sz w:val="28"/>
                <w:szCs w:val="28"/>
              </w:rPr>
              <w:t>元人民币</w:t>
            </w:r>
            <w:r w:rsidRPr="00AF3B9C">
              <w:rPr>
                <w:rFonts w:asciiTheme="minorEastAsia" w:eastAsiaTheme="minorEastAsia" w:hAnsiTheme="minorEastAsia" w:hint="eastAsia"/>
                <w:sz w:val="28"/>
                <w:szCs w:val="28"/>
              </w:rPr>
              <w:t>的，从其规定；本基金管理人直销柜台每个基金账户首次最低申购金额、单笔追加申购最低金额均为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元人民币；通过本基金管理人网上交易平台申购本基金时，单笔申购最低金额、定期定额投资最低金额均为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w:t>
            </w:r>
            <w:r w:rsidR="0042177B" w:rsidRPr="0042177B">
              <w:rPr>
                <w:rFonts w:asciiTheme="minorEastAsia" w:eastAsiaTheme="minorEastAsia" w:hAnsiTheme="minorEastAsia" w:hint="eastAsia"/>
                <w:sz w:val="28"/>
                <w:szCs w:val="28"/>
              </w:rPr>
              <w:t>转换转入及定投的起点设置与申购相同。</w:t>
            </w:r>
          </w:p>
          <w:p w:rsidR="007D6E34" w:rsidRPr="00974921" w:rsidRDefault="007D6E34" w:rsidP="00587017">
            <w:pPr>
              <w:ind w:firstLineChars="200" w:firstLine="560"/>
              <w:rPr>
                <w:rFonts w:asciiTheme="minorEastAsia" w:eastAsiaTheme="minorEastAsia" w:hAnsiTheme="minorEastAsia"/>
                <w:sz w:val="28"/>
                <w:szCs w:val="28"/>
              </w:rPr>
            </w:pPr>
            <w:r w:rsidRPr="00473928">
              <w:rPr>
                <w:rFonts w:asciiTheme="minorEastAsia" w:eastAsiaTheme="minorEastAsia" w:hAnsiTheme="minorEastAsia" w:hint="eastAsia"/>
                <w:sz w:val="28"/>
                <w:szCs w:val="28"/>
              </w:rPr>
              <w:t>基金份额持有人在销售机构赎回时，每次赎回申请不得低于</w:t>
            </w:r>
            <w:r w:rsidR="005E6C4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1</w:t>
            </w:r>
            <w:r w:rsidRPr="00473928">
              <w:rPr>
                <w:rFonts w:asciiTheme="minorEastAsia" w:eastAsiaTheme="minorEastAsia" w:hAnsiTheme="minorEastAsia" w:hint="eastAsia"/>
                <w:sz w:val="28"/>
                <w:szCs w:val="28"/>
              </w:rPr>
              <w:t>份基金份额。基金份额持有人赎回时或赎回后在销售机构保留的基金份额余额不足</w:t>
            </w:r>
            <w:r w:rsidR="005E6C4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1</w:t>
            </w:r>
            <w:r w:rsidRPr="00473928">
              <w:rPr>
                <w:rFonts w:asciiTheme="minorEastAsia" w:eastAsiaTheme="minorEastAsia" w:hAnsiTheme="minorEastAsia" w:hint="eastAsia"/>
                <w:sz w:val="28"/>
                <w:szCs w:val="28"/>
              </w:rPr>
              <w:t>份的，在赎回时需一次全部赎回。</w:t>
            </w:r>
            <w:r>
              <w:rPr>
                <w:rFonts w:asciiTheme="minorEastAsia" w:eastAsiaTheme="minorEastAsia" w:hAnsiTheme="minorEastAsia" w:hint="eastAsia"/>
                <w:sz w:val="28"/>
                <w:szCs w:val="28"/>
              </w:rPr>
              <w:t>转换转出下限设置与赎回相同。</w:t>
            </w:r>
            <w:bookmarkStart w:id="0" w:name="_GoBack"/>
            <w:bookmarkEnd w:id="0"/>
          </w:p>
        </w:tc>
      </w:tr>
    </w:tbl>
    <w:p w:rsidR="00117F96" w:rsidRPr="00117F96" w:rsidRDefault="00117F96" w:rsidP="00117F96">
      <w:pPr>
        <w:autoSpaceDE w:val="0"/>
        <w:autoSpaceDN w:val="0"/>
        <w:adjustRightInd w:val="0"/>
        <w:jc w:val="left"/>
        <w:rPr>
          <w:rFonts w:asciiTheme="minorEastAsia" w:eastAsiaTheme="minorEastAsia" w:hAnsiTheme="minorEastAsia"/>
          <w:sz w:val="28"/>
          <w:szCs w:val="28"/>
        </w:rPr>
      </w:pPr>
      <w:r w:rsidRPr="00117F96">
        <w:rPr>
          <w:rFonts w:asciiTheme="minorEastAsia" w:eastAsiaTheme="minorEastAsia" w:hAnsiTheme="minorEastAsia" w:hint="eastAsia"/>
          <w:sz w:val="28"/>
          <w:szCs w:val="28"/>
        </w:rPr>
        <w:t>本次调整方案所涉及的招募说明书相关内容，将在更新招募说明书时一并予以调整。</w:t>
      </w:r>
    </w:p>
    <w:p w:rsidR="00F57396" w:rsidRPr="00117F96" w:rsidRDefault="00F57396" w:rsidP="00F57396">
      <w:pPr>
        <w:autoSpaceDE w:val="0"/>
        <w:autoSpaceDN w:val="0"/>
        <w:adjustRightInd w:val="0"/>
        <w:jc w:val="left"/>
        <w:rPr>
          <w:rFonts w:asciiTheme="minorEastAsia" w:eastAsiaTheme="minorEastAsia" w:hAnsiTheme="minorEastAsia"/>
          <w:b/>
          <w:sz w:val="28"/>
          <w:szCs w:val="28"/>
        </w:rPr>
      </w:pPr>
      <w:r w:rsidRPr="00D3662C">
        <w:rPr>
          <w:rFonts w:asciiTheme="minorEastAsia" w:eastAsiaTheme="minorEastAsia" w:hAnsiTheme="minorEastAsia" w:hint="eastAsia"/>
          <w:b/>
          <w:sz w:val="28"/>
          <w:szCs w:val="28"/>
        </w:rPr>
        <w:t>三、投资者可以登录本公司网站</w:t>
      </w:r>
      <w:r w:rsidRPr="00D3662C">
        <w:rPr>
          <w:rFonts w:asciiTheme="minorEastAsia" w:eastAsiaTheme="minorEastAsia" w:hAnsiTheme="minorEastAsia"/>
          <w:b/>
          <w:sz w:val="28"/>
          <w:szCs w:val="28"/>
        </w:rPr>
        <w:t>(www.ccbfund.cn)</w:t>
      </w:r>
      <w:r w:rsidRPr="00D3662C">
        <w:rPr>
          <w:rFonts w:asciiTheme="minorEastAsia" w:eastAsiaTheme="minorEastAsia" w:hAnsiTheme="minorEastAsia" w:hint="eastAsia"/>
          <w:b/>
          <w:sz w:val="28"/>
          <w:szCs w:val="28"/>
        </w:rPr>
        <w:t>或拨打公司客户服务电话</w:t>
      </w:r>
      <w:r w:rsidRPr="00D3662C">
        <w:rPr>
          <w:rFonts w:asciiTheme="minorEastAsia" w:eastAsiaTheme="minorEastAsia" w:hAnsiTheme="minorEastAsia"/>
          <w:b/>
          <w:sz w:val="28"/>
          <w:szCs w:val="28"/>
        </w:rPr>
        <w:t>400-81-95533</w:t>
      </w:r>
      <w:r w:rsidRPr="00D3662C">
        <w:rPr>
          <w:rFonts w:asciiTheme="minorEastAsia" w:eastAsiaTheme="minorEastAsia" w:hAnsiTheme="minorEastAsia" w:hint="eastAsia"/>
          <w:b/>
          <w:sz w:val="28"/>
          <w:szCs w:val="28"/>
        </w:rPr>
        <w:t>（免长途通话费用）咨询相关信息。</w:t>
      </w:r>
    </w:p>
    <w:p w:rsidR="00117F96" w:rsidRDefault="00117F96" w:rsidP="00F57396">
      <w:pPr>
        <w:autoSpaceDE w:val="0"/>
        <w:autoSpaceDN w:val="0"/>
        <w:adjustRightInd w:val="0"/>
        <w:jc w:val="left"/>
        <w:rPr>
          <w:rFonts w:asciiTheme="minorEastAsia" w:eastAsiaTheme="minorEastAsia" w:hAnsiTheme="minorEastAsia"/>
          <w:b/>
          <w:sz w:val="28"/>
          <w:szCs w:val="28"/>
        </w:rPr>
      </w:pPr>
    </w:p>
    <w:p w:rsidR="00F57396" w:rsidRDefault="00F57396" w:rsidP="00F57396">
      <w:pPr>
        <w:autoSpaceDE w:val="0"/>
        <w:autoSpaceDN w:val="0"/>
        <w:adjustRightInd w:val="0"/>
        <w:jc w:val="left"/>
        <w:rPr>
          <w:rFonts w:asciiTheme="minorEastAsia" w:eastAsiaTheme="minorEastAsia" w:hAnsiTheme="minorEastAsia"/>
          <w:sz w:val="28"/>
          <w:szCs w:val="28"/>
        </w:rPr>
      </w:pPr>
      <w:r w:rsidRPr="000E5212">
        <w:rPr>
          <w:rFonts w:asciiTheme="minorEastAsia" w:eastAsiaTheme="minorEastAsia" w:hAnsiTheme="minorEastAsia" w:hint="eastAsia"/>
          <w:b/>
          <w:sz w:val="28"/>
          <w:szCs w:val="28"/>
        </w:rPr>
        <w:t>风险提示：</w:t>
      </w:r>
      <w:r w:rsidRPr="000E5212">
        <w:rPr>
          <w:rFonts w:asciiTheme="minorEastAsia" w:eastAsiaTheme="minorEastAsia" w:hAnsiTheme="minorEastAsia" w:hint="eastAsia"/>
          <w:sz w:val="28"/>
          <w:szCs w:val="28"/>
        </w:rPr>
        <w:t>本公司承诺以诚实信用、勤勉尽责的原则管理和运用基金资产,但不保证基金一定盈利,也不保证最低收益。投资者投资基金之前应认真阅读基金的《基金合同》、《招募说明书》和《产品资料概要》等文件。敬请投资者注意投资风险。</w:t>
      </w:r>
    </w:p>
    <w:p w:rsidR="00F57396" w:rsidRDefault="00F57396" w:rsidP="001843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p>
    <w:p w:rsidR="003228D0" w:rsidRPr="000E5212" w:rsidRDefault="007A29F5" w:rsidP="001843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r w:rsidRPr="000E5212">
        <w:rPr>
          <w:rFonts w:asciiTheme="minorEastAsia" w:eastAsiaTheme="minorEastAsia" w:hAnsiTheme="minorEastAsia"/>
          <w:sz w:val="28"/>
          <w:szCs w:val="28"/>
        </w:rPr>
        <w:t>特此公告。</w:t>
      </w:r>
    </w:p>
    <w:p w:rsidR="00F57396" w:rsidRDefault="00F57396" w:rsidP="00025DF7">
      <w:pPr>
        <w:autoSpaceDE w:val="0"/>
        <w:autoSpaceDN w:val="0"/>
        <w:adjustRightInd w:val="0"/>
        <w:spacing w:line="360" w:lineRule="auto"/>
        <w:jc w:val="right"/>
        <w:rPr>
          <w:rFonts w:asciiTheme="minorEastAsia" w:eastAsiaTheme="minorEastAsia" w:hAnsiTheme="minorEastAsia"/>
          <w:sz w:val="28"/>
          <w:szCs w:val="28"/>
        </w:rPr>
      </w:pPr>
    </w:p>
    <w:p w:rsidR="007A29F5" w:rsidRPr="000E5212" w:rsidRDefault="007A29F5" w:rsidP="00025DF7">
      <w:pPr>
        <w:autoSpaceDE w:val="0"/>
        <w:autoSpaceDN w:val="0"/>
        <w:adjustRightInd w:val="0"/>
        <w:spacing w:line="360" w:lineRule="auto"/>
        <w:jc w:val="right"/>
        <w:rPr>
          <w:rFonts w:asciiTheme="minorEastAsia" w:eastAsiaTheme="minorEastAsia" w:hAnsiTheme="minorEastAsia"/>
          <w:sz w:val="28"/>
          <w:szCs w:val="28"/>
        </w:rPr>
      </w:pPr>
      <w:r w:rsidRPr="000E5212">
        <w:rPr>
          <w:rFonts w:asciiTheme="minorEastAsia" w:eastAsiaTheme="minorEastAsia" w:hAnsiTheme="minorEastAsia"/>
          <w:sz w:val="28"/>
          <w:szCs w:val="28"/>
        </w:rPr>
        <w:t>建信基金管理有限责任公司</w:t>
      </w:r>
    </w:p>
    <w:p w:rsidR="00B17749" w:rsidRPr="000E5212" w:rsidRDefault="00A12676" w:rsidP="00F57396">
      <w:pPr>
        <w:spacing w:line="360" w:lineRule="auto"/>
        <w:ind w:right="280"/>
        <w:jc w:val="right"/>
        <w:rPr>
          <w:rFonts w:asciiTheme="minorEastAsia" w:eastAsiaTheme="minorEastAsia" w:hAnsiTheme="minorEastAsia"/>
          <w:sz w:val="28"/>
          <w:szCs w:val="28"/>
        </w:rPr>
      </w:pPr>
      <w:r w:rsidRPr="000E5212">
        <w:rPr>
          <w:rFonts w:asciiTheme="minorEastAsia" w:eastAsiaTheme="minorEastAsia" w:hAnsiTheme="minorEastAsia" w:hint="eastAsia"/>
          <w:sz w:val="28"/>
          <w:szCs w:val="28"/>
        </w:rPr>
        <w:t>202</w:t>
      </w:r>
      <w:r w:rsidR="000843A7">
        <w:rPr>
          <w:rFonts w:asciiTheme="minorEastAsia" w:eastAsiaTheme="minorEastAsia" w:hAnsiTheme="minorEastAsia" w:hint="eastAsia"/>
          <w:sz w:val="28"/>
          <w:szCs w:val="28"/>
        </w:rPr>
        <w:t>3</w:t>
      </w:r>
      <w:r w:rsidRPr="000E5212">
        <w:rPr>
          <w:rFonts w:asciiTheme="minorEastAsia" w:eastAsiaTheme="minorEastAsia" w:hAnsiTheme="minorEastAsia" w:hint="eastAsia"/>
          <w:sz w:val="28"/>
          <w:szCs w:val="28"/>
        </w:rPr>
        <w:t>年</w:t>
      </w:r>
      <w:r w:rsidR="00684987">
        <w:rPr>
          <w:rFonts w:asciiTheme="minorEastAsia" w:eastAsiaTheme="minorEastAsia" w:hAnsiTheme="minorEastAsia" w:hint="eastAsia"/>
          <w:sz w:val="28"/>
          <w:szCs w:val="28"/>
        </w:rPr>
        <w:t>12</w:t>
      </w:r>
      <w:r w:rsidR="007A29F5" w:rsidRPr="000E5212">
        <w:rPr>
          <w:rFonts w:asciiTheme="minorEastAsia" w:eastAsiaTheme="minorEastAsia" w:hAnsiTheme="minorEastAsia" w:hint="eastAsia"/>
          <w:sz w:val="28"/>
          <w:szCs w:val="28"/>
        </w:rPr>
        <w:t>月</w:t>
      </w:r>
      <w:r w:rsidR="00727C00">
        <w:rPr>
          <w:rFonts w:asciiTheme="minorEastAsia" w:eastAsiaTheme="minorEastAsia" w:hAnsiTheme="minorEastAsia" w:hint="eastAsia"/>
          <w:sz w:val="28"/>
          <w:szCs w:val="28"/>
        </w:rPr>
        <w:t>18</w:t>
      </w:r>
      <w:r w:rsidR="007A29F5" w:rsidRPr="000E5212">
        <w:rPr>
          <w:rFonts w:asciiTheme="minorEastAsia" w:eastAsiaTheme="minorEastAsia" w:hAnsiTheme="minorEastAsia" w:hint="eastAsia"/>
          <w:sz w:val="28"/>
          <w:szCs w:val="28"/>
        </w:rPr>
        <w:t>日</w:t>
      </w:r>
    </w:p>
    <w:sectPr w:rsidR="00B17749" w:rsidRPr="000E5212" w:rsidSect="00C07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AC" w:rsidRDefault="00C016AC" w:rsidP="0091558F">
      <w:r>
        <w:separator/>
      </w:r>
    </w:p>
  </w:endnote>
  <w:endnote w:type="continuationSeparator" w:id="0">
    <w:p w:rsidR="00C016AC" w:rsidRDefault="00C016AC" w:rsidP="00915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AC" w:rsidRDefault="00C016AC" w:rsidP="0091558F">
      <w:r>
        <w:separator/>
      </w:r>
    </w:p>
  </w:footnote>
  <w:footnote w:type="continuationSeparator" w:id="0">
    <w:p w:rsidR="00C016AC" w:rsidRDefault="00C016AC" w:rsidP="00915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84"/>
    <w:multiLevelType w:val="hybridMultilevel"/>
    <w:tmpl w:val="CC86DBF8"/>
    <w:lvl w:ilvl="0" w:tplc="DD9AD6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5B1BE3"/>
    <w:multiLevelType w:val="hybridMultilevel"/>
    <w:tmpl w:val="C36EFF84"/>
    <w:lvl w:ilvl="0" w:tplc="D38C5D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749"/>
    <w:rsid w:val="000100FA"/>
    <w:rsid w:val="00025DF7"/>
    <w:rsid w:val="00027A6E"/>
    <w:rsid w:val="00062A32"/>
    <w:rsid w:val="00077BFA"/>
    <w:rsid w:val="000843A7"/>
    <w:rsid w:val="000A14CF"/>
    <w:rsid w:val="000A183A"/>
    <w:rsid w:val="000C337D"/>
    <w:rsid w:val="000C36D8"/>
    <w:rsid w:val="000C541A"/>
    <w:rsid w:val="000E1264"/>
    <w:rsid w:val="000E5212"/>
    <w:rsid w:val="00117F96"/>
    <w:rsid w:val="00136D0E"/>
    <w:rsid w:val="00182BB5"/>
    <w:rsid w:val="001843CA"/>
    <w:rsid w:val="00185655"/>
    <w:rsid w:val="00195C2C"/>
    <w:rsid w:val="001C6FCF"/>
    <w:rsid w:val="001D42CE"/>
    <w:rsid w:val="001E209F"/>
    <w:rsid w:val="002170E8"/>
    <w:rsid w:val="0023190A"/>
    <w:rsid w:val="00236029"/>
    <w:rsid w:val="00250A5B"/>
    <w:rsid w:val="00251F95"/>
    <w:rsid w:val="00256ACD"/>
    <w:rsid w:val="00257835"/>
    <w:rsid w:val="00261E76"/>
    <w:rsid w:val="00272342"/>
    <w:rsid w:val="00296D41"/>
    <w:rsid w:val="002A6701"/>
    <w:rsid w:val="002B6F87"/>
    <w:rsid w:val="002C7BDE"/>
    <w:rsid w:val="002E5D6F"/>
    <w:rsid w:val="002E6835"/>
    <w:rsid w:val="00301A38"/>
    <w:rsid w:val="00314F0E"/>
    <w:rsid w:val="003228D0"/>
    <w:rsid w:val="00331979"/>
    <w:rsid w:val="00331E21"/>
    <w:rsid w:val="00347989"/>
    <w:rsid w:val="0035778B"/>
    <w:rsid w:val="0037659B"/>
    <w:rsid w:val="003863CD"/>
    <w:rsid w:val="003949B3"/>
    <w:rsid w:val="00396BC7"/>
    <w:rsid w:val="003B25A4"/>
    <w:rsid w:val="003C66F0"/>
    <w:rsid w:val="003F26D9"/>
    <w:rsid w:val="00420D8B"/>
    <w:rsid w:val="0042177B"/>
    <w:rsid w:val="004241C2"/>
    <w:rsid w:val="004310A9"/>
    <w:rsid w:val="004425BB"/>
    <w:rsid w:val="00445750"/>
    <w:rsid w:val="004736D6"/>
    <w:rsid w:val="00473928"/>
    <w:rsid w:val="00480AC2"/>
    <w:rsid w:val="00490B51"/>
    <w:rsid w:val="004919AE"/>
    <w:rsid w:val="004A77DF"/>
    <w:rsid w:val="004B6397"/>
    <w:rsid w:val="004B6C5B"/>
    <w:rsid w:val="004C144E"/>
    <w:rsid w:val="004C6BA4"/>
    <w:rsid w:val="004E42A5"/>
    <w:rsid w:val="004F3770"/>
    <w:rsid w:val="00501540"/>
    <w:rsid w:val="005015B6"/>
    <w:rsid w:val="00517465"/>
    <w:rsid w:val="00524F2F"/>
    <w:rsid w:val="00535EF4"/>
    <w:rsid w:val="0053757B"/>
    <w:rsid w:val="005434BC"/>
    <w:rsid w:val="00575F4A"/>
    <w:rsid w:val="005836B5"/>
    <w:rsid w:val="00587017"/>
    <w:rsid w:val="005B4963"/>
    <w:rsid w:val="005E059F"/>
    <w:rsid w:val="005E6C4A"/>
    <w:rsid w:val="005E7C16"/>
    <w:rsid w:val="00600D63"/>
    <w:rsid w:val="00610FD5"/>
    <w:rsid w:val="00621E27"/>
    <w:rsid w:val="00631012"/>
    <w:rsid w:val="0063506F"/>
    <w:rsid w:val="00636BAA"/>
    <w:rsid w:val="00670918"/>
    <w:rsid w:val="00676968"/>
    <w:rsid w:val="00684987"/>
    <w:rsid w:val="00691541"/>
    <w:rsid w:val="00697193"/>
    <w:rsid w:val="006A56A6"/>
    <w:rsid w:val="006C1C53"/>
    <w:rsid w:val="006C4EB8"/>
    <w:rsid w:val="006C751B"/>
    <w:rsid w:val="006D2393"/>
    <w:rsid w:val="006E13B1"/>
    <w:rsid w:val="00727C00"/>
    <w:rsid w:val="007461C5"/>
    <w:rsid w:val="00754189"/>
    <w:rsid w:val="00766A72"/>
    <w:rsid w:val="007979D8"/>
    <w:rsid w:val="007A29F5"/>
    <w:rsid w:val="007B1C93"/>
    <w:rsid w:val="007D6E34"/>
    <w:rsid w:val="007E6857"/>
    <w:rsid w:val="008106E4"/>
    <w:rsid w:val="00812CE5"/>
    <w:rsid w:val="00813A86"/>
    <w:rsid w:val="008355B7"/>
    <w:rsid w:val="00863F47"/>
    <w:rsid w:val="008F041E"/>
    <w:rsid w:val="0091558F"/>
    <w:rsid w:val="00915EF0"/>
    <w:rsid w:val="00931ACB"/>
    <w:rsid w:val="00974921"/>
    <w:rsid w:val="00991A90"/>
    <w:rsid w:val="00992E9B"/>
    <w:rsid w:val="009D1D80"/>
    <w:rsid w:val="009E1B3B"/>
    <w:rsid w:val="009E2AD9"/>
    <w:rsid w:val="009F2181"/>
    <w:rsid w:val="009F2D37"/>
    <w:rsid w:val="00A05CC6"/>
    <w:rsid w:val="00A12676"/>
    <w:rsid w:val="00A136BF"/>
    <w:rsid w:val="00A235E7"/>
    <w:rsid w:val="00A368B6"/>
    <w:rsid w:val="00A54D77"/>
    <w:rsid w:val="00A55ADE"/>
    <w:rsid w:val="00A6269A"/>
    <w:rsid w:val="00A62DDC"/>
    <w:rsid w:val="00A74727"/>
    <w:rsid w:val="00A830F4"/>
    <w:rsid w:val="00A91A53"/>
    <w:rsid w:val="00AB0E86"/>
    <w:rsid w:val="00AF3B9C"/>
    <w:rsid w:val="00B03587"/>
    <w:rsid w:val="00B05148"/>
    <w:rsid w:val="00B17749"/>
    <w:rsid w:val="00B27260"/>
    <w:rsid w:val="00B5787C"/>
    <w:rsid w:val="00BA10A2"/>
    <w:rsid w:val="00BA362E"/>
    <w:rsid w:val="00BB3F44"/>
    <w:rsid w:val="00BC537D"/>
    <w:rsid w:val="00BC6181"/>
    <w:rsid w:val="00BE4556"/>
    <w:rsid w:val="00BE5FC3"/>
    <w:rsid w:val="00BE68FA"/>
    <w:rsid w:val="00C016AC"/>
    <w:rsid w:val="00C04448"/>
    <w:rsid w:val="00C07F41"/>
    <w:rsid w:val="00C37321"/>
    <w:rsid w:val="00C52507"/>
    <w:rsid w:val="00C628D7"/>
    <w:rsid w:val="00CA2189"/>
    <w:rsid w:val="00CC1F0B"/>
    <w:rsid w:val="00CD296E"/>
    <w:rsid w:val="00CD4C42"/>
    <w:rsid w:val="00D024AB"/>
    <w:rsid w:val="00D166E4"/>
    <w:rsid w:val="00D3662C"/>
    <w:rsid w:val="00D46F71"/>
    <w:rsid w:val="00D83CBA"/>
    <w:rsid w:val="00D9346C"/>
    <w:rsid w:val="00D95F3C"/>
    <w:rsid w:val="00DB61AD"/>
    <w:rsid w:val="00DC440B"/>
    <w:rsid w:val="00DC75A4"/>
    <w:rsid w:val="00DD36CC"/>
    <w:rsid w:val="00DD7DB0"/>
    <w:rsid w:val="00DE2902"/>
    <w:rsid w:val="00DF1941"/>
    <w:rsid w:val="00E239B7"/>
    <w:rsid w:val="00E341D6"/>
    <w:rsid w:val="00EA4539"/>
    <w:rsid w:val="00EB1749"/>
    <w:rsid w:val="00ED4794"/>
    <w:rsid w:val="00EE76D5"/>
    <w:rsid w:val="00EF6E4B"/>
    <w:rsid w:val="00F01EC0"/>
    <w:rsid w:val="00F57396"/>
    <w:rsid w:val="00F80F09"/>
    <w:rsid w:val="00F92594"/>
    <w:rsid w:val="00FC2679"/>
    <w:rsid w:val="00FF6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8F"/>
    <w:rPr>
      <w:rFonts w:ascii="Calibri" w:eastAsia="宋体" w:hAnsi="Calibri" w:cs="Times New Roman"/>
      <w:sz w:val="18"/>
      <w:szCs w:val="18"/>
    </w:rPr>
  </w:style>
  <w:style w:type="paragraph" w:styleId="a4">
    <w:name w:val="footer"/>
    <w:basedOn w:val="a"/>
    <w:link w:val="Char0"/>
    <w:uiPriority w:val="99"/>
    <w:unhideWhenUsed/>
    <w:rsid w:val="0091558F"/>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8F"/>
    <w:rPr>
      <w:rFonts w:ascii="Calibri" w:eastAsia="宋体" w:hAnsi="Calibri" w:cs="Times New Roman"/>
      <w:sz w:val="18"/>
      <w:szCs w:val="18"/>
    </w:rPr>
  </w:style>
  <w:style w:type="paragraph" w:styleId="a5">
    <w:name w:val="Balloon Text"/>
    <w:basedOn w:val="a"/>
    <w:link w:val="Char1"/>
    <w:uiPriority w:val="99"/>
    <w:semiHidden/>
    <w:unhideWhenUsed/>
    <w:rsid w:val="00AB0E86"/>
    <w:rPr>
      <w:sz w:val="18"/>
      <w:szCs w:val="18"/>
    </w:rPr>
  </w:style>
  <w:style w:type="character" w:customStyle="1" w:styleId="Char1">
    <w:name w:val="批注框文本 Char"/>
    <w:basedOn w:val="a0"/>
    <w:link w:val="a5"/>
    <w:uiPriority w:val="99"/>
    <w:semiHidden/>
    <w:rsid w:val="00AB0E86"/>
    <w:rPr>
      <w:rFonts w:ascii="Calibri" w:eastAsia="宋体" w:hAnsi="Calibri" w:cs="Times New Roman"/>
      <w:sz w:val="18"/>
      <w:szCs w:val="18"/>
    </w:rPr>
  </w:style>
  <w:style w:type="paragraph" w:styleId="HTML">
    <w:name w:val="HTML Preformatted"/>
    <w:basedOn w:val="a"/>
    <w:link w:val="HTMLChar"/>
    <w:semiHidden/>
    <w:unhideWhenUsed/>
    <w:rsid w:val="00D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basedOn w:val="a0"/>
    <w:link w:val="HTML"/>
    <w:semiHidden/>
    <w:rsid w:val="00D024AB"/>
    <w:rPr>
      <w:rFonts w:ascii="宋体" w:eastAsia="宋体" w:hAnsi="宋体" w:cs="宋体"/>
      <w:color w:val="000000"/>
      <w:kern w:val="0"/>
      <w:sz w:val="24"/>
      <w:szCs w:val="24"/>
    </w:rPr>
  </w:style>
  <w:style w:type="character" w:styleId="a6">
    <w:name w:val="Hyperlink"/>
    <w:basedOn w:val="a0"/>
    <w:uiPriority w:val="99"/>
    <w:unhideWhenUsed/>
    <w:rsid w:val="00D024AB"/>
    <w:rPr>
      <w:color w:val="0000FF"/>
      <w:u w:val="single"/>
    </w:rPr>
  </w:style>
  <w:style w:type="paragraph" w:styleId="a7">
    <w:name w:val="List Paragraph"/>
    <w:basedOn w:val="a"/>
    <w:uiPriority w:val="34"/>
    <w:qFormat/>
    <w:rsid w:val="003B25A4"/>
    <w:pPr>
      <w:ind w:firstLineChars="200" w:firstLine="420"/>
    </w:pPr>
  </w:style>
  <w:style w:type="paragraph" w:customStyle="1" w:styleId="Default">
    <w:name w:val="Default"/>
    <w:rsid w:val="00C52507"/>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52507"/>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062A32"/>
    <w:rPr>
      <w:sz w:val="21"/>
      <w:szCs w:val="21"/>
    </w:rPr>
  </w:style>
  <w:style w:type="paragraph" w:styleId="aa">
    <w:name w:val="annotation text"/>
    <w:basedOn w:val="a"/>
    <w:link w:val="Char2"/>
    <w:uiPriority w:val="99"/>
    <w:semiHidden/>
    <w:unhideWhenUsed/>
    <w:rsid w:val="00062A32"/>
    <w:pPr>
      <w:jc w:val="left"/>
    </w:pPr>
  </w:style>
  <w:style w:type="character" w:customStyle="1" w:styleId="Char2">
    <w:name w:val="批注文字 Char"/>
    <w:basedOn w:val="a0"/>
    <w:link w:val="aa"/>
    <w:uiPriority w:val="99"/>
    <w:semiHidden/>
    <w:rsid w:val="00062A32"/>
    <w:rPr>
      <w:rFonts w:ascii="Calibri" w:eastAsia="宋体" w:hAnsi="Calibri" w:cs="Times New Roman"/>
    </w:rPr>
  </w:style>
  <w:style w:type="paragraph" w:styleId="ab">
    <w:name w:val="annotation subject"/>
    <w:basedOn w:val="aa"/>
    <w:next w:val="aa"/>
    <w:link w:val="Char3"/>
    <w:uiPriority w:val="99"/>
    <w:semiHidden/>
    <w:unhideWhenUsed/>
    <w:rsid w:val="00062A32"/>
    <w:rPr>
      <w:b/>
      <w:bCs/>
    </w:rPr>
  </w:style>
  <w:style w:type="character" w:customStyle="1" w:styleId="Char3">
    <w:name w:val="批注主题 Char"/>
    <w:basedOn w:val="Char2"/>
    <w:link w:val="ab"/>
    <w:uiPriority w:val="99"/>
    <w:semiHidden/>
    <w:rsid w:val="00062A32"/>
    <w:rPr>
      <w:rFonts w:ascii="Calibri" w:eastAsia="宋体" w:hAnsi="Calibri" w:cs="Times New Roman"/>
      <w:b/>
      <w:bCs/>
    </w:rPr>
  </w:style>
  <w:style w:type="table" w:styleId="ac">
    <w:name w:val="Table Grid"/>
    <w:basedOn w:val="a1"/>
    <w:uiPriority w:val="59"/>
    <w:rsid w:val="006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8F"/>
    <w:rPr>
      <w:rFonts w:ascii="Calibri" w:eastAsia="宋体" w:hAnsi="Calibri" w:cs="Times New Roman"/>
      <w:sz w:val="18"/>
      <w:szCs w:val="18"/>
    </w:rPr>
  </w:style>
  <w:style w:type="paragraph" w:styleId="a4">
    <w:name w:val="footer"/>
    <w:basedOn w:val="a"/>
    <w:link w:val="Char0"/>
    <w:uiPriority w:val="99"/>
    <w:unhideWhenUsed/>
    <w:rsid w:val="0091558F"/>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8F"/>
    <w:rPr>
      <w:rFonts w:ascii="Calibri" w:eastAsia="宋体" w:hAnsi="Calibri" w:cs="Times New Roman"/>
      <w:sz w:val="18"/>
      <w:szCs w:val="18"/>
    </w:rPr>
  </w:style>
  <w:style w:type="paragraph" w:styleId="a5">
    <w:name w:val="Balloon Text"/>
    <w:basedOn w:val="a"/>
    <w:link w:val="Char1"/>
    <w:uiPriority w:val="99"/>
    <w:semiHidden/>
    <w:unhideWhenUsed/>
    <w:rsid w:val="00AB0E86"/>
    <w:rPr>
      <w:sz w:val="18"/>
      <w:szCs w:val="18"/>
    </w:rPr>
  </w:style>
  <w:style w:type="character" w:customStyle="1" w:styleId="Char1">
    <w:name w:val="批注框文本 Char"/>
    <w:basedOn w:val="a0"/>
    <w:link w:val="a5"/>
    <w:uiPriority w:val="99"/>
    <w:semiHidden/>
    <w:rsid w:val="00AB0E86"/>
    <w:rPr>
      <w:rFonts w:ascii="Calibri" w:eastAsia="宋体" w:hAnsi="Calibri" w:cs="Times New Roman"/>
      <w:sz w:val="18"/>
      <w:szCs w:val="18"/>
    </w:rPr>
  </w:style>
  <w:style w:type="paragraph" w:styleId="HTML">
    <w:name w:val="HTML Preformatted"/>
    <w:basedOn w:val="a"/>
    <w:link w:val="HTMLChar"/>
    <w:semiHidden/>
    <w:unhideWhenUsed/>
    <w:rsid w:val="00D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basedOn w:val="a0"/>
    <w:link w:val="HTML"/>
    <w:semiHidden/>
    <w:rsid w:val="00D024AB"/>
    <w:rPr>
      <w:rFonts w:ascii="宋体" w:eastAsia="宋体" w:hAnsi="宋体" w:cs="宋体"/>
      <w:color w:val="000000"/>
      <w:kern w:val="0"/>
      <w:sz w:val="24"/>
      <w:szCs w:val="24"/>
    </w:rPr>
  </w:style>
  <w:style w:type="character" w:styleId="a6">
    <w:name w:val="Hyperlink"/>
    <w:basedOn w:val="a0"/>
    <w:uiPriority w:val="99"/>
    <w:unhideWhenUsed/>
    <w:rsid w:val="00D024AB"/>
    <w:rPr>
      <w:color w:val="0000FF"/>
      <w:u w:val="single"/>
    </w:rPr>
  </w:style>
  <w:style w:type="paragraph" w:styleId="a7">
    <w:name w:val="List Paragraph"/>
    <w:basedOn w:val="a"/>
    <w:uiPriority w:val="34"/>
    <w:qFormat/>
    <w:rsid w:val="003B25A4"/>
    <w:pPr>
      <w:ind w:firstLineChars="200" w:firstLine="420"/>
    </w:pPr>
  </w:style>
  <w:style w:type="paragraph" w:customStyle="1" w:styleId="Default">
    <w:name w:val="Default"/>
    <w:rsid w:val="00C52507"/>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52507"/>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062A32"/>
    <w:rPr>
      <w:sz w:val="21"/>
      <w:szCs w:val="21"/>
    </w:rPr>
  </w:style>
  <w:style w:type="paragraph" w:styleId="aa">
    <w:name w:val="annotation text"/>
    <w:basedOn w:val="a"/>
    <w:link w:val="Char2"/>
    <w:uiPriority w:val="99"/>
    <w:semiHidden/>
    <w:unhideWhenUsed/>
    <w:rsid w:val="00062A32"/>
    <w:pPr>
      <w:jc w:val="left"/>
    </w:pPr>
  </w:style>
  <w:style w:type="character" w:customStyle="1" w:styleId="Char2">
    <w:name w:val="批注文字 Char"/>
    <w:basedOn w:val="a0"/>
    <w:link w:val="aa"/>
    <w:uiPriority w:val="99"/>
    <w:semiHidden/>
    <w:rsid w:val="00062A32"/>
    <w:rPr>
      <w:rFonts w:ascii="Calibri" w:eastAsia="宋体" w:hAnsi="Calibri" w:cs="Times New Roman"/>
    </w:rPr>
  </w:style>
  <w:style w:type="paragraph" w:styleId="ab">
    <w:name w:val="annotation subject"/>
    <w:basedOn w:val="aa"/>
    <w:next w:val="aa"/>
    <w:link w:val="Char3"/>
    <w:uiPriority w:val="99"/>
    <w:semiHidden/>
    <w:unhideWhenUsed/>
    <w:rsid w:val="00062A32"/>
    <w:rPr>
      <w:b/>
      <w:bCs/>
    </w:rPr>
  </w:style>
  <w:style w:type="character" w:customStyle="1" w:styleId="Char3">
    <w:name w:val="批注主题 Char"/>
    <w:basedOn w:val="Char2"/>
    <w:link w:val="ab"/>
    <w:uiPriority w:val="99"/>
    <w:semiHidden/>
    <w:rsid w:val="00062A32"/>
    <w:rPr>
      <w:rFonts w:ascii="Calibri" w:eastAsia="宋体" w:hAnsi="Calibri" w:cs="Times New Roman"/>
      <w:b/>
      <w:bCs/>
    </w:rPr>
  </w:style>
  <w:style w:type="table" w:styleId="ac">
    <w:name w:val="Table Grid"/>
    <w:basedOn w:val="a1"/>
    <w:uiPriority w:val="59"/>
    <w:rsid w:val="006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2394">
      <w:bodyDiv w:val="1"/>
      <w:marLeft w:val="0"/>
      <w:marRight w:val="0"/>
      <w:marTop w:val="0"/>
      <w:marBottom w:val="0"/>
      <w:divBdr>
        <w:top w:val="none" w:sz="0" w:space="0" w:color="auto"/>
        <w:left w:val="none" w:sz="0" w:space="0" w:color="auto"/>
        <w:bottom w:val="none" w:sz="0" w:space="0" w:color="auto"/>
        <w:right w:val="none" w:sz="0" w:space="0" w:color="auto"/>
      </w:divBdr>
    </w:div>
    <w:div w:id="892739648">
      <w:bodyDiv w:val="1"/>
      <w:marLeft w:val="0"/>
      <w:marRight w:val="0"/>
      <w:marTop w:val="0"/>
      <w:marBottom w:val="0"/>
      <w:divBdr>
        <w:top w:val="none" w:sz="0" w:space="0" w:color="auto"/>
        <w:left w:val="none" w:sz="0" w:space="0" w:color="auto"/>
        <w:bottom w:val="none" w:sz="0" w:space="0" w:color="auto"/>
        <w:right w:val="none" w:sz="0" w:space="0" w:color="auto"/>
      </w:divBdr>
    </w:div>
    <w:div w:id="1009716617">
      <w:bodyDiv w:val="1"/>
      <w:marLeft w:val="0"/>
      <w:marRight w:val="0"/>
      <w:marTop w:val="0"/>
      <w:marBottom w:val="0"/>
      <w:divBdr>
        <w:top w:val="none" w:sz="0" w:space="0" w:color="auto"/>
        <w:left w:val="none" w:sz="0" w:space="0" w:color="auto"/>
        <w:bottom w:val="none" w:sz="0" w:space="0" w:color="auto"/>
        <w:right w:val="none" w:sz="0" w:space="0" w:color="auto"/>
      </w:divBdr>
    </w:div>
    <w:div w:id="21440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0335-CD76-4561-9BE2-BFBB2ABB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2798</Characters>
  <Application>Microsoft Office Word</Application>
  <DocSecurity>4</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dcterms:created xsi:type="dcterms:W3CDTF">2023-12-17T16:01:00Z</dcterms:created>
  <dcterms:modified xsi:type="dcterms:W3CDTF">2023-12-17T16:01:00Z</dcterms:modified>
</cp:coreProperties>
</file>