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36" w:rsidRPr="00A13607" w:rsidRDefault="00C1698F" w:rsidP="00CF0436">
      <w:pPr>
        <w:jc w:val="center"/>
        <w:rPr>
          <w:b/>
          <w:sz w:val="28"/>
          <w:szCs w:val="28"/>
        </w:rPr>
      </w:pPr>
      <w:bookmarkStart w:id="0" w:name="_GoBack"/>
      <w:r w:rsidRPr="00A13607">
        <w:rPr>
          <w:rFonts w:hint="eastAsia"/>
          <w:b/>
          <w:sz w:val="28"/>
          <w:szCs w:val="28"/>
        </w:rPr>
        <w:t>华宝基金</w:t>
      </w:r>
      <w:r w:rsidRPr="00A13607">
        <w:rPr>
          <w:b/>
          <w:sz w:val="28"/>
          <w:szCs w:val="28"/>
        </w:rPr>
        <w:t>关于旗下部分基金</w:t>
      </w:r>
      <w:r w:rsidR="0039219E" w:rsidRPr="00A13607">
        <w:rPr>
          <w:b/>
          <w:sz w:val="28"/>
          <w:szCs w:val="28"/>
        </w:rPr>
        <w:t>新增</w:t>
      </w:r>
      <w:r w:rsidR="0039219E" w:rsidRPr="00A13607">
        <w:rPr>
          <w:rFonts w:hint="eastAsia"/>
          <w:b/>
          <w:sz w:val="28"/>
          <w:szCs w:val="28"/>
        </w:rPr>
        <w:t>广发</w:t>
      </w:r>
      <w:r w:rsidR="0039219E" w:rsidRPr="00A13607">
        <w:rPr>
          <w:b/>
          <w:sz w:val="28"/>
          <w:szCs w:val="28"/>
        </w:rPr>
        <w:t>银行股份有限公司</w:t>
      </w:r>
    </w:p>
    <w:p w:rsidR="0039219E" w:rsidRPr="00A13607" w:rsidRDefault="00C1698F" w:rsidP="00A13607">
      <w:pPr>
        <w:jc w:val="center"/>
        <w:rPr>
          <w:b/>
          <w:sz w:val="30"/>
          <w:szCs w:val="30"/>
        </w:rPr>
      </w:pPr>
      <w:r w:rsidRPr="00A13607">
        <w:rPr>
          <w:b/>
          <w:sz w:val="28"/>
          <w:szCs w:val="28"/>
        </w:rPr>
        <w:t>为代销机构的公告</w:t>
      </w:r>
      <w:bookmarkEnd w:id="0"/>
    </w:p>
    <w:p w:rsidR="00A13607" w:rsidRDefault="00A13607" w:rsidP="00A13607">
      <w:pPr>
        <w:spacing w:line="360" w:lineRule="auto"/>
        <w:ind w:firstLineChars="200" w:firstLine="480"/>
        <w:rPr>
          <w:sz w:val="24"/>
          <w:szCs w:val="24"/>
        </w:rPr>
      </w:pPr>
    </w:p>
    <w:p w:rsidR="00A13607" w:rsidRDefault="00C1698F" w:rsidP="00A13607">
      <w:pPr>
        <w:spacing w:line="360" w:lineRule="auto"/>
        <w:ind w:firstLineChars="200" w:firstLine="480"/>
        <w:rPr>
          <w:sz w:val="24"/>
          <w:szCs w:val="24"/>
        </w:rPr>
      </w:pPr>
      <w:r w:rsidRPr="00A13607">
        <w:rPr>
          <w:sz w:val="24"/>
          <w:szCs w:val="24"/>
        </w:rPr>
        <w:t>根据华宝基金管理有限公司（以下简称</w:t>
      </w:r>
      <w:r w:rsidRPr="00A13607">
        <w:rPr>
          <w:sz w:val="24"/>
          <w:szCs w:val="24"/>
        </w:rPr>
        <w:t>“</w:t>
      </w:r>
      <w:r w:rsidRPr="00A13607">
        <w:rPr>
          <w:sz w:val="24"/>
          <w:szCs w:val="24"/>
        </w:rPr>
        <w:t>本公司</w:t>
      </w:r>
      <w:r w:rsidRPr="00A13607">
        <w:rPr>
          <w:sz w:val="24"/>
          <w:szCs w:val="24"/>
        </w:rPr>
        <w:t>”</w:t>
      </w:r>
      <w:r w:rsidRPr="00A13607">
        <w:rPr>
          <w:sz w:val="24"/>
          <w:szCs w:val="24"/>
        </w:rPr>
        <w:t>）与</w:t>
      </w:r>
      <w:r w:rsidRPr="00A13607">
        <w:rPr>
          <w:rFonts w:hint="eastAsia"/>
          <w:sz w:val="24"/>
          <w:szCs w:val="24"/>
        </w:rPr>
        <w:t>广发</w:t>
      </w:r>
      <w:r w:rsidRPr="00A13607">
        <w:rPr>
          <w:sz w:val="24"/>
          <w:szCs w:val="24"/>
        </w:rPr>
        <w:t>银行股份有限公司（以下简称：</w:t>
      </w:r>
      <w:r w:rsidRPr="00A13607">
        <w:rPr>
          <w:rFonts w:hint="eastAsia"/>
          <w:sz w:val="24"/>
          <w:szCs w:val="24"/>
        </w:rPr>
        <w:t>广发</w:t>
      </w:r>
      <w:r w:rsidRPr="00A13607">
        <w:rPr>
          <w:sz w:val="24"/>
          <w:szCs w:val="24"/>
        </w:rPr>
        <w:t>银行）签署的《证券投资基金销售代理协议》，本公司自</w:t>
      </w:r>
      <w:r w:rsidRPr="00A13607">
        <w:rPr>
          <w:sz w:val="24"/>
          <w:szCs w:val="24"/>
        </w:rPr>
        <w:t>202</w:t>
      </w:r>
      <w:r w:rsidR="00FC7843" w:rsidRPr="00A13607">
        <w:rPr>
          <w:sz w:val="24"/>
          <w:szCs w:val="24"/>
        </w:rPr>
        <w:t>3</w:t>
      </w:r>
      <w:r w:rsidRPr="00A13607">
        <w:rPr>
          <w:sz w:val="24"/>
          <w:szCs w:val="24"/>
        </w:rPr>
        <w:t>年</w:t>
      </w:r>
      <w:r w:rsidR="00CF0436" w:rsidRPr="00A13607">
        <w:rPr>
          <w:sz w:val="24"/>
          <w:szCs w:val="24"/>
        </w:rPr>
        <w:t>12</w:t>
      </w:r>
      <w:r w:rsidRPr="00A13607">
        <w:rPr>
          <w:sz w:val="24"/>
          <w:szCs w:val="24"/>
        </w:rPr>
        <w:t>月</w:t>
      </w:r>
      <w:r w:rsidR="00CF0436" w:rsidRPr="00A13607">
        <w:rPr>
          <w:sz w:val="24"/>
          <w:szCs w:val="24"/>
        </w:rPr>
        <w:t>18</w:t>
      </w:r>
      <w:r w:rsidRPr="00A13607">
        <w:rPr>
          <w:sz w:val="24"/>
          <w:szCs w:val="24"/>
        </w:rPr>
        <w:t>日起增加</w:t>
      </w:r>
      <w:r w:rsidRPr="00A13607">
        <w:rPr>
          <w:rFonts w:hint="eastAsia"/>
          <w:sz w:val="24"/>
          <w:szCs w:val="24"/>
        </w:rPr>
        <w:t>广发</w:t>
      </w:r>
      <w:r w:rsidRPr="00A13607">
        <w:rPr>
          <w:sz w:val="24"/>
          <w:szCs w:val="24"/>
        </w:rPr>
        <w:t>银行为</w:t>
      </w:r>
      <w:r w:rsidR="00B95A83" w:rsidRPr="00A13607">
        <w:rPr>
          <w:sz w:val="24"/>
          <w:szCs w:val="24"/>
        </w:rPr>
        <w:t>以下适用基金的代销机构。</w:t>
      </w:r>
      <w:r w:rsidR="00B95A83" w:rsidRPr="00A13607">
        <w:rPr>
          <w:sz w:val="24"/>
          <w:szCs w:val="24"/>
        </w:rPr>
        <w:t xml:space="preserve"> </w:t>
      </w:r>
    </w:p>
    <w:p w:rsidR="00A13607" w:rsidRPr="00A13607" w:rsidRDefault="00C1698F" w:rsidP="00A13607">
      <w:pPr>
        <w:pStyle w:val="a3"/>
        <w:numPr>
          <w:ilvl w:val="0"/>
          <w:numId w:val="2"/>
        </w:numPr>
        <w:spacing w:line="360" w:lineRule="auto"/>
        <w:ind w:firstLineChars="0"/>
        <w:rPr>
          <w:sz w:val="24"/>
          <w:szCs w:val="24"/>
        </w:rPr>
      </w:pPr>
      <w:r w:rsidRPr="00A13607">
        <w:rPr>
          <w:sz w:val="24"/>
          <w:szCs w:val="24"/>
        </w:rPr>
        <w:t>适用基金如下：</w:t>
      </w:r>
      <w:r w:rsidRPr="00A13607">
        <w:rPr>
          <w:sz w:val="24"/>
          <w:szCs w:val="24"/>
        </w:rPr>
        <w:t xml:space="preserve"> </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2"/>
        <w:gridCol w:w="6662"/>
        <w:gridCol w:w="1276"/>
      </w:tblGrid>
      <w:tr w:rsidR="004A4E1E" w:rsidTr="00E446C9">
        <w:trPr>
          <w:trHeight w:val="288"/>
          <w:jc w:val="center"/>
        </w:trPr>
        <w:tc>
          <w:tcPr>
            <w:tcW w:w="992" w:type="dxa"/>
            <w:vAlign w:val="center"/>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序号</w:t>
            </w:r>
          </w:p>
        </w:tc>
        <w:tc>
          <w:tcPr>
            <w:tcW w:w="6662" w:type="dxa"/>
            <w:tcMar>
              <w:top w:w="0" w:type="dxa"/>
              <w:left w:w="108" w:type="dxa"/>
              <w:bottom w:w="0" w:type="dxa"/>
              <w:right w:w="108" w:type="dxa"/>
            </w:tcMar>
            <w:vAlign w:val="center"/>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基金全称</w:t>
            </w:r>
          </w:p>
        </w:tc>
        <w:tc>
          <w:tcPr>
            <w:tcW w:w="1276" w:type="dxa"/>
            <w:vAlign w:val="center"/>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基金代码</w:t>
            </w:r>
          </w:p>
        </w:tc>
      </w:tr>
      <w:tr w:rsidR="004A4E1E" w:rsidTr="00E446C9">
        <w:trPr>
          <w:trHeight w:val="288"/>
          <w:jc w:val="center"/>
        </w:trPr>
        <w:tc>
          <w:tcPr>
            <w:tcW w:w="992" w:type="dxa"/>
            <w:vAlign w:val="center"/>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1</w:t>
            </w:r>
          </w:p>
        </w:tc>
        <w:tc>
          <w:tcPr>
            <w:tcW w:w="6662" w:type="dxa"/>
            <w:tcMar>
              <w:top w:w="0" w:type="dxa"/>
              <w:left w:w="108" w:type="dxa"/>
              <w:bottom w:w="0" w:type="dxa"/>
              <w:right w:w="108" w:type="dxa"/>
            </w:tcMar>
            <w:vAlign w:val="center"/>
            <w:hideMark/>
          </w:tcPr>
          <w:p w:rsidR="00E446C9" w:rsidRPr="00E446C9" w:rsidRDefault="00C1698F" w:rsidP="00E446C9">
            <w:pPr>
              <w:jc w:val="center"/>
              <w:rPr>
                <w:rFonts w:asciiTheme="minorEastAsia" w:hAnsiTheme="minorEastAsia"/>
                <w:sz w:val="24"/>
                <w:szCs w:val="24"/>
              </w:rPr>
            </w:pPr>
            <w:r w:rsidRPr="00E446C9">
              <w:rPr>
                <w:rFonts w:asciiTheme="minorEastAsia" w:hAnsiTheme="minorEastAsia" w:hint="eastAsia"/>
                <w:color w:val="000000"/>
                <w:sz w:val="24"/>
                <w:szCs w:val="24"/>
              </w:rPr>
              <w:t>华宝安元债券型证券投资基金</w:t>
            </w:r>
            <w:r w:rsidRPr="00E446C9">
              <w:rPr>
                <w:rFonts w:asciiTheme="minorEastAsia" w:hAnsiTheme="minorEastAsia" w:hint="eastAsia"/>
                <w:color w:val="000000"/>
                <w:sz w:val="24"/>
                <w:szCs w:val="24"/>
              </w:rPr>
              <w:t>A</w:t>
            </w:r>
            <w:r w:rsidRPr="00E446C9">
              <w:rPr>
                <w:rFonts w:asciiTheme="minorEastAsia" w:hAnsiTheme="minorEastAsia" w:hint="eastAsia"/>
                <w:color w:val="000000"/>
                <w:sz w:val="24"/>
                <w:szCs w:val="24"/>
              </w:rPr>
              <w:t>类</w:t>
            </w:r>
          </w:p>
        </w:tc>
        <w:tc>
          <w:tcPr>
            <w:tcW w:w="1276" w:type="dxa"/>
            <w:vAlign w:val="center"/>
          </w:tcPr>
          <w:p w:rsidR="00E446C9" w:rsidRPr="00E446C9" w:rsidRDefault="00C1698F" w:rsidP="00E446C9">
            <w:pPr>
              <w:jc w:val="center"/>
              <w:rPr>
                <w:rFonts w:asciiTheme="minorEastAsia" w:hAnsiTheme="minorEastAsia"/>
                <w:sz w:val="24"/>
                <w:szCs w:val="24"/>
              </w:rPr>
            </w:pPr>
            <w:r w:rsidRPr="00E446C9">
              <w:rPr>
                <w:rFonts w:asciiTheme="minorEastAsia" w:hAnsiTheme="minorEastAsia" w:hint="eastAsia"/>
                <w:color w:val="000000"/>
                <w:sz w:val="24"/>
                <w:szCs w:val="24"/>
              </w:rPr>
              <w:t>018570</w:t>
            </w:r>
          </w:p>
        </w:tc>
      </w:tr>
      <w:tr w:rsidR="004A4E1E" w:rsidTr="00E446C9">
        <w:trPr>
          <w:trHeight w:val="358"/>
          <w:jc w:val="center"/>
        </w:trPr>
        <w:tc>
          <w:tcPr>
            <w:tcW w:w="992" w:type="dxa"/>
            <w:vAlign w:val="center"/>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2</w:t>
            </w:r>
          </w:p>
        </w:tc>
        <w:tc>
          <w:tcPr>
            <w:tcW w:w="6662" w:type="dxa"/>
            <w:tcMar>
              <w:top w:w="0" w:type="dxa"/>
              <w:left w:w="108" w:type="dxa"/>
              <w:bottom w:w="0" w:type="dxa"/>
              <w:right w:w="108" w:type="dxa"/>
            </w:tcMar>
            <w:vAlign w:val="center"/>
            <w:hideMark/>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华宝安元债券型证券投资基金</w:t>
            </w:r>
            <w:r w:rsidRPr="00E446C9">
              <w:rPr>
                <w:rFonts w:asciiTheme="minorEastAsia" w:hAnsiTheme="minorEastAsia" w:hint="eastAsia"/>
                <w:color w:val="000000"/>
                <w:sz w:val="24"/>
                <w:szCs w:val="24"/>
              </w:rPr>
              <w:t>C</w:t>
            </w:r>
            <w:r w:rsidRPr="00E446C9">
              <w:rPr>
                <w:rFonts w:asciiTheme="minorEastAsia" w:hAnsiTheme="minorEastAsia" w:hint="eastAsia"/>
                <w:color w:val="000000"/>
                <w:sz w:val="24"/>
                <w:szCs w:val="24"/>
              </w:rPr>
              <w:t>类</w:t>
            </w:r>
          </w:p>
        </w:tc>
        <w:tc>
          <w:tcPr>
            <w:tcW w:w="1276" w:type="dxa"/>
            <w:vAlign w:val="center"/>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018571</w:t>
            </w:r>
          </w:p>
        </w:tc>
      </w:tr>
      <w:tr w:rsidR="004A4E1E" w:rsidTr="00E446C9">
        <w:trPr>
          <w:trHeight w:val="288"/>
          <w:jc w:val="center"/>
        </w:trPr>
        <w:tc>
          <w:tcPr>
            <w:tcW w:w="992" w:type="dxa"/>
            <w:vAlign w:val="center"/>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3</w:t>
            </w:r>
          </w:p>
        </w:tc>
        <w:tc>
          <w:tcPr>
            <w:tcW w:w="6662" w:type="dxa"/>
            <w:tcMar>
              <w:top w:w="0" w:type="dxa"/>
              <w:left w:w="108" w:type="dxa"/>
              <w:bottom w:w="0" w:type="dxa"/>
              <w:right w:w="108" w:type="dxa"/>
            </w:tcMar>
            <w:vAlign w:val="center"/>
            <w:hideMark/>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华宝海外科技股票型证券投资基金（</w:t>
            </w:r>
            <w:r w:rsidRPr="00E446C9">
              <w:rPr>
                <w:rFonts w:asciiTheme="minorEastAsia" w:hAnsiTheme="minorEastAsia" w:hint="eastAsia"/>
                <w:color w:val="000000"/>
                <w:sz w:val="24"/>
                <w:szCs w:val="24"/>
              </w:rPr>
              <w:t>QDII-LOF</w:t>
            </w:r>
            <w:r w:rsidRPr="00E446C9">
              <w:rPr>
                <w:rFonts w:asciiTheme="minorEastAsia" w:hAnsiTheme="minorEastAsia" w:hint="eastAsia"/>
                <w:color w:val="000000"/>
                <w:sz w:val="24"/>
                <w:szCs w:val="24"/>
              </w:rPr>
              <w:t>）</w:t>
            </w:r>
            <w:r w:rsidRPr="00E446C9">
              <w:rPr>
                <w:rFonts w:asciiTheme="minorEastAsia" w:hAnsiTheme="minorEastAsia" w:hint="eastAsia"/>
                <w:color w:val="000000"/>
                <w:sz w:val="24"/>
                <w:szCs w:val="24"/>
              </w:rPr>
              <w:t>A</w:t>
            </w:r>
            <w:r w:rsidRPr="00E446C9">
              <w:rPr>
                <w:rFonts w:asciiTheme="minorEastAsia" w:hAnsiTheme="minorEastAsia" w:hint="eastAsia"/>
                <w:color w:val="000000"/>
                <w:sz w:val="24"/>
                <w:szCs w:val="24"/>
              </w:rPr>
              <w:t>类</w:t>
            </w:r>
          </w:p>
        </w:tc>
        <w:tc>
          <w:tcPr>
            <w:tcW w:w="1276" w:type="dxa"/>
            <w:vAlign w:val="center"/>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501312</w:t>
            </w:r>
          </w:p>
        </w:tc>
      </w:tr>
      <w:tr w:rsidR="004A4E1E" w:rsidTr="00E446C9">
        <w:trPr>
          <w:trHeight w:val="288"/>
          <w:jc w:val="center"/>
        </w:trPr>
        <w:tc>
          <w:tcPr>
            <w:tcW w:w="992" w:type="dxa"/>
            <w:vAlign w:val="center"/>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4</w:t>
            </w:r>
          </w:p>
        </w:tc>
        <w:tc>
          <w:tcPr>
            <w:tcW w:w="6662" w:type="dxa"/>
            <w:tcMar>
              <w:top w:w="0" w:type="dxa"/>
              <w:left w:w="108" w:type="dxa"/>
              <w:bottom w:w="0" w:type="dxa"/>
              <w:right w:w="108" w:type="dxa"/>
            </w:tcMar>
            <w:vAlign w:val="center"/>
            <w:hideMark/>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华宝海外</w:t>
            </w:r>
            <w:r w:rsidRPr="00E446C9">
              <w:rPr>
                <w:rFonts w:asciiTheme="minorEastAsia" w:hAnsiTheme="minorEastAsia" w:hint="eastAsia"/>
                <w:color w:val="000000"/>
                <w:sz w:val="24"/>
                <w:szCs w:val="24"/>
              </w:rPr>
              <w:t>科技股票型证券投资基金（</w:t>
            </w:r>
            <w:r w:rsidRPr="00E446C9">
              <w:rPr>
                <w:rFonts w:asciiTheme="minorEastAsia" w:hAnsiTheme="minorEastAsia" w:hint="eastAsia"/>
                <w:color w:val="000000"/>
                <w:sz w:val="24"/>
                <w:szCs w:val="24"/>
              </w:rPr>
              <w:t>QDII-LOF</w:t>
            </w:r>
            <w:r w:rsidRPr="00E446C9">
              <w:rPr>
                <w:rFonts w:asciiTheme="minorEastAsia" w:hAnsiTheme="minorEastAsia" w:hint="eastAsia"/>
                <w:color w:val="000000"/>
                <w:sz w:val="24"/>
                <w:szCs w:val="24"/>
              </w:rPr>
              <w:t>）</w:t>
            </w:r>
            <w:r w:rsidRPr="00E446C9">
              <w:rPr>
                <w:rFonts w:asciiTheme="minorEastAsia" w:hAnsiTheme="minorEastAsia" w:hint="eastAsia"/>
                <w:color w:val="000000"/>
                <w:sz w:val="24"/>
                <w:szCs w:val="24"/>
              </w:rPr>
              <w:t>C</w:t>
            </w:r>
            <w:r w:rsidRPr="00E446C9">
              <w:rPr>
                <w:rFonts w:asciiTheme="minorEastAsia" w:hAnsiTheme="minorEastAsia" w:hint="eastAsia"/>
                <w:color w:val="000000"/>
                <w:sz w:val="24"/>
                <w:szCs w:val="24"/>
              </w:rPr>
              <w:t>类</w:t>
            </w:r>
          </w:p>
        </w:tc>
        <w:tc>
          <w:tcPr>
            <w:tcW w:w="1276" w:type="dxa"/>
            <w:vAlign w:val="center"/>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017204</w:t>
            </w:r>
          </w:p>
        </w:tc>
      </w:tr>
      <w:tr w:rsidR="004A4E1E" w:rsidTr="00E446C9">
        <w:trPr>
          <w:trHeight w:val="288"/>
          <w:jc w:val="center"/>
        </w:trPr>
        <w:tc>
          <w:tcPr>
            <w:tcW w:w="992" w:type="dxa"/>
            <w:vAlign w:val="center"/>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5</w:t>
            </w:r>
          </w:p>
        </w:tc>
        <w:tc>
          <w:tcPr>
            <w:tcW w:w="6662" w:type="dxa"/>
            <w:tcMar>
              <w:top w:w="0" w:type="dxa"/>
              <w:left w:w="108" w:type="dxa"/>
              <w:bottom w:w="0" w:type="dxa"/>
              <w:right w:w="108" w:type="dxa"/>
            </w:tcMar>
            <w:vAlign w:val="center"/>
            <w:hideMark/>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华宝纳斯达克精选股票型发起式证券投资基金（</w:t>
            </w:r>
            <w:r w:rsidRPr="00E446C9">
              <w:rPr>
                <w:rFonts w:asciiTheme="minorEastAsia" w:hAnsiTheme="minorEastAsia" w:hint="eastAsia"/>
                <w:color w:val="000000"/>
                <w:sz w:val="24"/>
                <w:szCs w:val="24"/>
              </w:rPr>
              <w:t>QDII</w:t>
            </w:r>
            <w:r w:rsidRPr="00E446C9">
              <w:rPr>
                <w:rFonts w:asciiTheme="minorEastAsia" w:hAnsiTheme="minorEastAsia" w:hint="eastAsia"/>
                <w:color w:val="000000"/>
                <w:sz w:val="24"/>
                <w:szCs w:val="24"/>
              </w:rPr>
              <w:t>）</w:t>
            </w:r>
            <w:r w:rsidRPr="00E446C9">
              <w:rPr>
                <w:rFonts w:asciiTheme="minorEastAsia" w:hAnsiTheme="minorEastAsia" w:hint="eastAsia"/>
                <w:color w:val="000000"/>
                <w:sz w:val="24"/>
                <w:szCs w:val="24"/>
              </w:rPr>
              <w:t>A</w:t>
            </w:r>
            <w:r w:rsidRPr="00E446C9">
              <w:rPr>
                <w:rFonts w:asciiTheme="minorEastAsia" w:hAnsiTheme="minorEastAsia" w:hint="eastAsia"/>
                <w:color w:val="000000"/>
                <w:sz w:val="24"/>
                <w:szCs w:val="24"/>
              </w:rPr>
              <w:t>类</w:t>
            </w:r>
          </w:p>
        </w:tc>
        <w:tc>
          <w:tcPr>
            <w:tcW w:w="1276" w:type="dxa"/>
            <w:vAlign w:val="center"/>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017436</w:t>
            </w:r>
          </w:p>
        </w:tc>
      </w:tr>
      <w:tr w:rsidR="004A4E1E" w:rsidTr="00E446C9">
        <w:trPr>
          <w:trHeight w:val="288"/>
          <w:jc w:val="center"/>
        </w:trPr>
        <w:tc>
          <w:tcPr>
            <w:tcW w:w="992" w:type="dxa"/>
            <w:vAlign w:val="center"/>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6</w:t>
            </w:r>
          </w:p>
        </w:tc>
        <w:tc>
          <w:tcPr>
            <w:tcW w:w="6662" w:type="dxa"/>
            <w:tcMar>
              <w:top w:w="0" w:type="dxa"/>
              <w:left w:w="108" w:type="dxa"/>
              <w:bottom w:w="0" w:type="dxa"/>
              <w:right w:w="108" w:type="dxa"/>
            </w:tcMar>
            <w:vAlign w:val="center"/>
            <w:hideMark/>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华宝纳斯达克精选股票型发起式证券投资基金（</w:t>
            </w:r>
            <w:r w:rsidRPr="00E446C9">
              <w:rPr>
                <w:rFonts w:asciiTheme="minorEastAsia" w:hAnsiTheme="minorEastAsia" w:hint="eastAsia"/>
                <w:color w:val="000000"/>
                <w:sz w:val="24"/>
                <w:szCs w:val="24"/>
              </w:rPr>
              <w:t>QDII</w:t>
            </w:r>
            <w:r w:rsidRPr="00E446C9">
              <w:rPr>
                <w:rFonts w:asciiTheme="minorEastAsia" w:hAnsiTheme="minorEastAsia" w:hint="eastAsia"/>
                <w:color w:val="000000"/>
                <w:sz w:val="24"/>
                <w:szCs w:val="24"/>
              </w:rPr>
              <w:t>）</w:t>
            </w:r>
            <w:r w:rsidRPr="00E446C9">
              <w:rPr>
                <w:rFonts w:asciiTheme="minorEastAsia" w:hAnsiTheme="minorEastAsia" w:hint="eastAsia"/>
                <w:color w:val="000000"/>
                <w:sz w:val="24"/>
                <w:szCs w:val="24"/>
              </w:rPr>
              <w:t>C</w:t>
            </w:r>
            <w:r w:rsidRPr="00E446C9">
              <w:rPr>
                <w:rFonts w:asciiTheme="minorEastAsia" w:hAnsiTheme="minorEastAsia" w:hint="eastAsia"/>
                <w:color w:val="000000"/>
                <w:sz w:val="24"/>
                <w:szCs w:val="24"/>
              </w:rPr>
              <w:t>类</w:t>
            </w:r>
          </w:p>
        </w:tc>
        <w:tc>
          <w:tcPr>
            <w:tcW w:w="1276" w:type="dxa"/>
            <w:vAlign w:val="center"/>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017437</w:t>
            </w:r>
          </w:p>
        </w:tc>
      </w:tr>
      <w:tr w:rsidR="004A4E1E" w:rsidTr="00E446C9">
        <w:trPr>
          <w:trHeight w:val="288"/>
          <w:jc w:val="center"/>
        </w:trPr>
        <w:tc>
          <w:tcPr>
            <w:tcW w:w="992" w:type="dxa"/>
            <w:vAlign w:val="center"/>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7</w:t>
            </w:r>
          </w:p>
        </w:tc>
        <w:tc>
          <w:tcPr>
            <w:tcW w:w="6662" w:type="dxa"/>
            <w:tcMar>
              <w:top w:w="0" w:type="dxa"/>
              <w:left w:w="108" w:type="dxa"/>
              <w:bottom w:w="0" w:type="dxa"/>
              <w:right w:w="108" w:type="dxa"/>
            </w:tcMar>
            <w:vAlign w:val="center"/>
            <w:hideMark/>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华宝海外新能源汽车股票型发起式证券投资基金（</w:t>
            </w:r>
            <w:r w:rsidRPr="00E446C9">
              <w:rPr>
                <w:rFonts w:asciiTheme="minorEastAsia" w:hAnsiTheme="minorEastAsia" w:hint="eastAsia"/>
                <w:color w:val="000000"/>
                <w:sz w:val="24"/>
                <w:szCs w:val="24"/>
              </w:rPr>
              <w:t>QDII</w:t>
            </w:r>
            <w:r w:rsidRPr="00E446C9">
              <w:rPr>
                <w:rFonts w:asciiTheme="minorEastAsia" w:hAnsiTheme="minorEastAsia" w:hint="eastAsia"/>
                <w:color w:val="000000"/>
                <w:sz w:val="24"/>
                <w:szCs w:val="24"/>
              </w:rPr>
              <w:t>）</w:t>
            </w:r>
            <w:r w:rsidRPr="00E446C9">
              <w:rPr>
                <w:rFonts w:asciiTheme="minorEastAsia" w:hAnsiTheme="minorEastAsia" w:hint="eastAsia"/>
                <w:color w:val="000000"/>
                <w:sz w:val="24"/>
                <w:szCs w:val="24"/>
              </w:rPr>
              <w:t>A</w:t>
            </w:r>
            <w:r w:rsidRPr="00E446C9">
              <w:rPr>
                <w:rFonts w:asciiTheme="minorEastAsia" w:hAnsiTheme="minorEastAsia" w:hint="eastAsia"/>
                <w:color w:val="000000"/>
                <w:sz w:val="24"/>
                <w:szCs w:val="24"/>
              </w:rPr>
              <w:t>类</w:t>
            </w:r>
          </w:p>
        </w:tc>
        <w:tc>
          <w:tcPr>
            <w:tcW w:w="1276" w:type="dxa"/>
            <w:vAlign w:val="center"/>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017144</w:t>
            </w:r>
          </w:p>
        </w:tc>
      </w:tr>
      <w:tr w:rsidR="004A4E1E" w:rsidTr="00E446C9">
        <w:trPr>
          <w:trHeight w:val="288"/>
          <w:jc w:val="center"/>
        </w:trPr>
        <w:tc>
          <w:tcPr>
            <w:tcW w:w="992" w:type="dxa"/>
            <w:vAlign w:val="center"/>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8</w:t>
            </w:r>
          </w:p>
        </w:tc>
        <w:tc>
          <w:tcPr>
            <w:tcW w:w="6662" w:type="dxa"/>
            <w:tcMar>
              <w:top w:w="0" w:type="dxa"/>
              <w:left w:w="108" w:type="dxa"/>
              <w:bottom w:w="0" w:type="dxa"/>
              <w:right w:w="108" w:type="dxa"/>
            </w:tcMar>
            <w:vAlign w:val="center"/>
            <w:hideMark/>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华宝海外新能源汽车股票型发起式证券投资基金（</w:t>
            </w:r>
            <w:r w:rsidRPr="00E446C9">
              <w:rPr>
                <w:rFonts w:asciiTheme="minorEastAsia" w:hAnsiTheme="minorEastAsia" w:hint="eastAsia"/>
                <w:color w:val="000000"/>
                <w:sz w:val="24"/>
                <w:szCs w:val="24"/>
              </w:rPr>
              <w:t>QDII</w:t>
            </w:r>
            <w:r w:rsidRPr="00E446C9">
              <w:rPr>
                <w:rFonts w:asciiTheme="minorEastAsia" w:hAnsiTheme="minorEastAsia" w:hint="eastAsia"/>
                <w:color w:val="000000"/>
                <w:sz w:val="24"/>
                <w:szCs w:val="24"/>
              </w:rPr>
              <w:t>）</w:t>
            </w:r>
            <w:r w:rsidRPr="00E446C9">
              <w:rPr>
                <w:rFonts w:asciiTheme="minorEastAsia" w:hAnsiTheme="minorEastAsia" w:hint="eastAsia"/>
                <w:color w:val="000000"/>
                <w:sz w:val="24"/>
                <w:szCs w:val="24"/>
              </w:rPr>
              <w:t>C</w:t>
            </w:r>
            <w:r w:rsidRPr="00E446C9">
              <w:rPr>
                <w:rFonts w:asciiTheme="minorEastAsia" w:hAnsiTheme="minorEastAsia" w:hint="eastAsia"/>
                <w:color w:val="000000"/>
                <w:sz w:val="24"/>
                <w:szCs w:val="24"/>
              </w:rPr>
              <w:t>类</w:t>
            </w:r>
          </w:p>
        </w:tc>
        <w:tc>
          <w:tcPr>
            <w:tcW w:w="1276" w:type="dxa"/>
            <w:vAlign w:val="center"/>
          </w:tcPr>
          <w:p w:rsidR="00E446C9" w:rsidRPr="00E446C9" w:rsidRDefault="00C1698F" w:rsidP="00E446C9">
            <w:pPr>
              <w:jc w:val="center"/>
              <w:rPr>
                <w:rFonts w:asciiTheme="minorEastAsia" w:hAnsiTheme="minorEastAsia"/>
                <w:color w:val="000000"/>
                <w:sz w:val="24"/>
                <w:szCs w:val="24"/>
              </w:rPr>
            </w:pPr>
            <w:r w:rsidRPr="00E446C9">
              <w:rPr>
                <w:rFonts w:asciiTheme="minorEastAsia" w:hAnsiTheme="minorEastAsia" w:hint="eastAsia"/>
                <w:color w:val="000000"/>
                <w:sz w:val="24"/>
                <w:szCs w:val="24"/>
              </w:rPr>
              <w:t>017145</w:t>
            </w:r>
          </w:p>
        </w:tc>
      </w:tr>
    </w:tbl>
    <w:p w:rsidR="00A13607" w:rsidRPr="00A13607" w:rsidRDefault="00C1698F" w:rsidP="00A13607">
      <w:pPr>
        <w:pStyle w:val="a3"/>
        <w:numPr>
          <w:ilvl w:val="0"/>
          <w:numId w:val="2"/>
        </w:numPr>
        <w:spacing w:line="360" w:lineRule="auto"/>
        <w:ind w:firstLineChars="0"/>
        <w:rPr>
          <w:sz w:val="24"/>
          <w:szCs w:val="24"/>
        </w:rPr>
      </w:pPr>
      <w:r w:rsidRPr="00A13607">
        <w:rPr>
          <w:sz w:val="24"/>
          <w:szCs w:val="24"/>
        </w:rPr>
        <w:t>投资者可到广发银行办理上述基金的开户、申赎及其他业务，具体优惠费率以代销机构为准。投资者可以通过以下途径了解或咨询相关情况</w:t>
      </w:r>
      <w:r w:rsidRPr="00A13607">
        <w:rPr>
          <w:rFonts w:hint="eastAsia"/>
          <w:sz w:val="24"/>
          <w:szCs w:val="24"/>
        </w:rPr>
        <w:t>：</w:t>
      </w:r>
    </w:p>
    <w:p w:rsidR="0039219E" w:rsidRPr="0039219E" w:rsidRDefault="00C1698F" w:rsidP="0039219E">
      <w:pPr>
        <w:pStyle w:val="a3"/>
        <w:numPr>
          <w:ilvl w:val="0"/>
          <w:numId w:val="1"/>
        </w:numPr>
        <w:spacing w:line="360" w:lineRule="auto"/>
        <w:ind w:firstLineChars="0"/>
        <w:rPr>
          <w:sz w:val="24"/>
          <w:szCs w:val="24"/>
        </w:rPr>
      </w:pPr>
      <w:r>
        <w:rPr>
          <w:rFonts w:hint="eastAsia"/>
          <w:sz w:val="24"/>
          <w:szCs w:val="24"/>
        </w:rPr>
        <w:t>广发</w:t>
      </w:r>
      <w:r w:rsidRPr="0039219E">
        <w:rPr>
          <w:sz w:val="24"/>
          <w:szCs w:val="24"/>
        </w:rPr>
        <w:t>银行股份有限公司</w:t>
      </w:r>
      <w:r w:rsidRPr="0039219E">
        <w:rPr>
          <w:sz w:val="24"/>
          <w:szCs w:val="24"/>
        </w:rPr>
        <w:t xml:space="preserve"> </w:t>
      </w:r>
    </w:p>
    <w:p w:rsidR="0039219E" w:rsidRDefault="00C1698F" w:rsidP="00A13607">
      <w:pPr>
        <w:spacing w:line="360" w:lineRule="auto"/>
        <w:ind w:left="480" w:firstLineChars="300" w:firstLine="720"/>
        <w:rPr>
          <w:sz w:val="24"/>
          <w:szCs w:val="24"/>
        </w:rPr>
      </w:pPr>
      <w:r w:rsidRPr="0039219E">
        <w:rPr>
          <w:sz w:val="24"/>
          <w:szCs w:val="24"/>
        </w:rPr>
        <w:t>客户服务电话</w:t>
      </w:r>
      <w:r w:rsidRPr="0039219E">
        <w:rPr>
          <w:sz w:val="24"/>
          <w:szCs w:val="24"/>
        </w:rPr>
        <w:t xml:space="preserve">: </w:t>
      </w:r>
      <w:r>
        <w:rPr>
          <w:sz w:val="24"/>
          <w:szCs w:val="24"/>
        </w:rPr>
        <w:t>400-830-8003</w:t>
      </w:r>
    </w:p>
    <w:p w:rsidR="0039219E" w:rsidRDefault="00C1698F" w:rsidP="00A13607">
      <w:pPr>
        <w:spacing w:line="360" w:lineRule="auto"/>
        <w:ind w:left="480" w:firstLineChars="300" w:firstLine="720"/>
        <w:rPr>
          <w:sz w:val="24"/>
          <w:szCs w:val="24"/>
        </w:rPr>
      </w:pPr>
      <w:r w:rsidRPr="0039219E">
        <w:rPr>
          <w:sz w:val="24"/>
          <w:szCs w:val="24"/>
        </w:rPr>
        <w:t>公司网址：</w:t>
      </w:r>
      <w:r w:rsidRPr="0039219E">
        <w:rPr>
          <w:sz w:val="24"/>
          <w:szCs w:val="24"/>
        </w:rPr>
        <w:t>www.cgbchina</w:t>
      </w:r>
      <w:r>
        <w:rPr>
          <w:sz w:val="24"/>
          <w:szCs w:val="24"/>
        </w:rPr>
        <w:t>.com.cn</w:t>
      </w:r>
      <w:r w:rsidRPr="0039219E">
        <w:rPr>
          <w:sz w:val="24"/>
          <w:szCs w:val="24"/>
        </w:rPr>
        <w:t xml:space="preserve"> </w:t>
      </w:r>
    </w:p>
    <w:p w:rsidR="0039219E" w:rsidRPr="0039219E" w:rsidRDefault="00C1698F" w:rsidP="0039219E">
      <w:pPr>
        <w:pStyle w:val="a3"/>
        <w:numPr>
          <w:ilvl w:val="0"/>
          <w:numId w:val="1"/>
        </w:numPr>
        <w:spacing w:line="360" w:lineRule="auto"/>
        <w:ind w:firstLineChars="0"/>
        <w:rPr>
          <w:sz w:val="24"/>
          <w:szCs w:val="24"/>
        </w:rPr>
      </w:pPr>
      <w:r w:rsidRPr="0039219E">
        <w:rPr>
          <w:sz w:val="24"/>
          <w:szCs w:val="24"/>
        </w:rPr>
        <w:t>华宝基金管理有限公司</w:t>
      </w:r>
      <w:r w:rsidRPr="0039219E">
        <w:rPr>
          <w:sz w:val="24"/>
          <w:szCs w:val="24"/>
        </w:rPr>
        <w:t xml:space="preserve"> </w:t>
      </w:r>
    </w:p>
    <w:p w:rsidR="0039219E" w:rsidRDefault="00C1698F" w:rsidP="00A13607">
      <w:pPr>
        <w:spacing w:line="360" w:lineRule="auto"/>
        <w:ind w:left="480" w:firstLineChars="300" w:firstLine="720"/>
        <w:rPr>
          <w:sz w:val="24"/>
          <w:szCs w:val="24"/>
        </w:rPr>
      </w:pPr>
      <w:r w:rsidRPr="0039219E">
        <w:rPr>
          <w:sz w:val="24"/>
          <w:szCs w:val="24"/>
        </w:rPr>
        <w:t>客户服务电话：</w:t>
      </w:r>
      <w:r w:rsidRPr="0039219E">
        <w:rPr>
          <w:sz w:val="24"/>
          <w:szCs w:val="24"/>
        </w:rPr>
        <w:t>400-820-5050</w:t>
      </w:r>
      <w:r w:rsidRPr="0039219E">
        <w:rPr>
          <w:sz w:val="24"/>
          <w:szCs w:val="24"/>
        </w:rPr>
        <w:t>、</w:t>
      </w:r>
      <w:r w:rsidRPr="0039219E">
        <w:rPr>
          <w:sz w:val="24"/>
          <w:szCs w:val="24"/>
        </w:rPr>
        <w:t xml:space="preserve">400-700-5588 </w:t>
      </w:r>
    </w:p>
    <w:p w:rsidR="0039219E" w:rsidRDefault="00C1698F" w:rsidP="00A13607">
      <w:pPr>
        <w:spacing w:line="360" w:lineRule="auto"/>
        <w:ind w:left="480" w:firstLineChars="300" w:firstLine="720"/>
        <w:rPr>
          <w:sz w:val="24"/>
          <w:szCs w:val="24"/>
        </w:rPr>
      </w:pPr>
      <w:r w:rsidRPr="0039219E">
        <w:rPr>
          <w:sz w:val="24"/>
          <w:szCs w:val="24"/>
        </w:rPr>
        <w:t>公司网址：</w:t>
      </w:r>
      <w:hyperlink r:id="rId5" w:history="1">
        <w:r w:rsidRPr="002421F2">
          <w:rPr>
            <w:rStyle w:val="a4"/>
            <w:sz w:val="24"/>
            <w:szCs w:val="24"/>
          </w:rPr>
          <w:t>www.fsfund.com</w:t>
        </w:r>
      </w:hyperlink>
      <w:r w:rsidRPr="0039219E">
        <w:rPr>
          <w:sz w:val="24"/>
          <w:szCs w:val="24"/>
        </w:rPr>
        <w:t xml:space="preserve"> </w:t>
      </w:r>
    </w:p>
    <w:p w:rsidR="0039219E" w:rsidRDefault="00C1698F" w:rsidP="00A13607">
      <w:pPr>
        <w:spacing w:line="360" w:lineRule="auto"/>
        <w:ind w:left="480" w:firstLineChars="200" w:firstLine="480"/>
        <w:rPr>
          <w:sz w:val="24"/>
          <w:szCs w:val="24"/>
        </w:rPr>
      </w:pPr>
      <w:r w:rsidRPr="0039219E">
        <w:rPr>
          <w:sz w:val="24"/>
          <w:szCs w:val="24"/>
        </w:rPr>
        <w:t>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r w:rsidRPr="0039219E">
        <w:rPr>
          <w:sz w:val="24"/>
          <w:szCs w:val="24"/>
        </w:rPr>
        <w:t xml:space="preserve"> </w:t>
      </w:r>
    </w:p>
    <w:p w:rsidR="0039219E" w:rsidRDefault="00C1698F" w:rsidP="00A13607">
      <w:pPr>
        <w:spacing w:line="360" w:lineRule="auto"/>
        <w:ind w:left="480" w:firstLineChars="200" w:firstLine="480"/>
        <w:rPr>
          <w:sz w:val="24"/>
          <w:szCs w:val="24"/>
        </w:rPr>
      </w:pPr>
      <w:r w:rsidRPr="0039219E">
        <w:rPr>
          <w:sz w:val="24"/>
          <w:szCs w:val="24"/>
        </w:rPr>
        <w:t>特此公告。</w:t>
      </w:r>
    </w:p>
    <w:p w:rsidR="0039219E" w:rsidRDefault="0039219E" w:rsidP="0039219E">
      <w:pPr>
        <w:spacing w:line="360" w:lineRule="auto"/>
        <w:ind w:left="480" w:firstLineChars="1600" w:firstLine="3840"/>
        <w:jc w:val="right"/>
        <w:rPr>
          <w:sz w:val="24"/>
          <w:szCs w:val="24"/>
        </w:rPr>
      </w:pPr>
    </w:p>
    <w:p w:rsidR="0039219E" w:rsidRDefault="00C1698F" w:rsidP="0039219E">
      <w:pPr>
        <w:spacing w:line="360" w:lineRule="auto"/>
        <w:ind w:left="480" w:firstLineChars="1600" w:firstLine="3840"/>
        <w:jc w:val="right"/>
        <w:rPr>
          <w:sz w:val="24"/>
          <w:szCs w:val="24"/>
        </w:rPr>
      </w:pPr>
      <w:r w:rsidRPr="0039219E">
        <w:rPr>
          <w:sz w:val="24"/>
          <w:szCs w:val="24"/>
        </w:rPr>
        <w:t>华宝基金管理有限公司</w:t>
      </w:r>
    </w:p>
    <w:p w:rsidR="002B69CE" w:rsidRPr="0039219E" w:rsidRDefault="00C1698F" w:rsidP="0039219E">
      <w:pPr>
        <w:spacing w:line="360" w:lineRule="auto"/>
        <w:ind w:left="480" w:firstLineChars="1600" w:firstLine="3840"/>
        <w:jc w:val="right"/>
        <w:rPr>
          <w:sz w:val="24"/>
          <w:szCs w:val="24"/>
        </w:rPr>
      </w:pPr>
      <w:r w:rsidRPr="0039219E">
        <w:rPr>
          <w:sz w:val="24"/>
          <w:szCs w:val="24"/>
        </w:rPr>
        <w:t xml:space="preserve"> 202</w:t>
      </w:r>
      <w:r w:rsidR="00FC7843">
        <w:rPr>
          <w:sz w:val="24"/>
          <w:szCs w:val="24"/>
        </w:rPr>
        <w:t>3</w:t>
      </w:r>
      <w:r w:rsidRPr="0039219E">
        <w:rPr>
          <w:sz w:val="24"/>
          <w:szCs w:val="24"/>
        </w:rPr>
        <w:t>年</w:t>
      </w:r>
      <w:r w:rsidR="00A13607">
        <w:rPr>
          <w:sz w:val="24"/>
          <w:szCs w:val="24"/>
        </w:rPr>
        <w:t>12</w:t>
      </w:r>
      <w:r w:rsidRPr="0039219E">
        <w:rPr>
          <w:sz w:val="24"/>
          <w:szCs w:val="24"/>
        </w:rPr>
        <w:t>月</w:t>
      </w:r>
      <w:r w:rsidR="00A13607">
        <w:rPr>
          <w:sz w:val="24"/>
          <w:szCs w:val="24"/>
        </w:rPr>
        <w:t>18</w:t>
      </w:r>
      <w:r w:rsidRPr="0039219E">
        <w:rPr>
          <w:sz w:val="24"/>
          <w:szCs w:val="24"/>
        </w:rPr>
        <w:t>日</w:t>
      </w:r>
    </w:p>
    <w:sectPr w:rsidR="002B69CE" w:rsidRPr="0039219E" w:rsidSect="004A4E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96D04"/>
    <w:multiLevelType w:val="hybridMultilevel"/>
    <w:tmpl w:val="430A2266"/>
    <w:lvl w:ilvl="0" w:tplc="CE46F780">
      <w:start w:val="1"/>
      <w:numFmt w:val="decimal"/>
      <w:lvlText w:val="（%1）"/>
      <w:lvlJc w:val="left"/>
      <w:pPr>
        <w:ind w:left="1200" w:hanging="720"/>
      </w:pPr>
      <w:rPr>
        <w:rFonts w:hint="default"/>
      </w:rPr>
    </w:lvl>
    <w:lvl w:ilvl="1" w:tplc="B5CA92BA" w:tentative="1">
      <w:start w:val="1"/>
      <w:numFmt w:val="lowerLetter"/>
      <w:lvlText w:val="%2)"/>
      <w:lvlJc w:val="left"/>
      <w:pPr>
        <w:ind w:left="1320" w:hanging="420"/>
      </w:pPr>
    </w:lvl>
    <w:lvl w:ilvl="2" w:tplc="5A500DEE" w:tentative="1">
      <w:start w:val="1"/>
      <w:numFmt w:val="lowerRoman"/>
      <w:lvlText w:val="%3."/>
      <w:lvlJc w:val="right"/>
      <w:pPr>
        <w:ind w:left="1740" w:hanging="420"/>
      </w:pPr>
    </w:lvl>
    <w:lvl w:ilvl="3" w:tplc="BFEAE424" w:tentative="1">
      <w:start w:val="1"/>
      <w:numFmt w:val="decimal"/>
      <w:lvlText w:val="%4."/>
      <w:lvlJc w:val="left"/>
      <w:pPr>
        <w:ind w:left="2160" w:hanging="420"/>
      </w:pPr>
    </w:lvl>
    <w:lvl w:ilvl="4" w:tplc="D0B443E2" w:tentative="1">
      <w:start w:val="1"/>
      <w:numFmt w:val="lowerLetter"/>
      <w:lvlText w:val="%5)"/>
      <w:lvlJc w:val="left"/>
      <w:pPr>
        <w:ind w:left="2580" w:hanging="420"/>
      </w:pPr>
    </w:lvl>
    <w:lvl w:ilvl="5" w:tplc="9DE27D90" w:tentative="1">
      <w:start w:val="1"/>
      <w:numFmt w:val="lowerRoman"/>
      <w:lvlText w:val="%6."/>
      <w:lvlJc w:val="right"/>
      <w:pPr>
        <w:ind w:left="3000" w:hanging="420"/>
      </w:pPr>
    </w:lvl>
    <w:lvl w:ilvl="6" w:tplc="83164A86" w:tentative="1">
      <w:start w:val="1"/>
      <w:numFmt w:val="decimal"/>
      <w:lvlText w:val="%7."/>
      <w:lvlJc w:val="left"/>
      <w:pPr>
        <w:ind w:left="3420" w:hanging="420"/>
      </w:pPr>
    </w:lvl>
    <w:lvl w:ilvl="7" w:tplc="609CC934" w:tentative="1">
      <w:start w:val="1"/>
      <w:numFmt w:val="lowerLetter"/>
      <w:lvlText w:val="%8)"/>
      <w:lvlJc w:val="left"/>
      <w:pPr>
        <w:ind w:left="3840" w:hanging="420"/>
      </w:pPr>
    </w:lvl>
    <w:lvl w:ilvl="8" w:tplc="5CBAA30C" w:tentative="1">
      <w:start w:val="1"/>
      <w:numFmt w:val="lowerRoman"/>
      <w:lvlText w:val="%9."/>
      <w:lvlJc w:val="right"/>
      <w:pPr>
        <w:ind w:left="4260" w:hanging="420"/>
      </w:pPr>
    </w:lvl>
  </w:abstractNum>
  <w:abstractNum w:abstractNumId="1">
    <w:nsid w:val="6BB66C84"/>
    <w:multiLevelType w:val="hybridMultilevel"/>
    <w:tmpl w:val="B57023A2"/>
    <w:lvl w:ilvl="0" w:tplc="A3D81EEE">
      <w:start w:val="1"/>
      <w:numFmt w:val="japaneseCounting"/>
      <w:lvlText w:val="%1、"/>
      <w:lvlJc w:val="left"/>
      <w:pPr>
        <w:ind w:left="960" w:hanging="480"/>
      </w:pPr>
      <w:rPr>
        <w:rFonts w:hint="default"/>
      </w:rPr>
    </w:lvl>
    <w:lvl w:ilvl="1" w:tplc="0F9C37C4" w:tentative="1">
      <w:start w:val="1"/>
      <w:numFmt w:val="lowerLetter"/>
      <w:lvlText w:val="%2)"/>
      <w:lvlJc w:val="left"/>
      <w:pPr>
        <w:ind w:left="1320" w:hanging="420"/>
      </w:pPr>
    </w:lvl>
    <w:lvl w:ilvl="2" w:tplc="E84A0428" w:tentative="1">
      <w:start w:val="1"/>
      <w:numFmt w:val="lowerRoman"/>
      <w:lvlText w:val="%3."/>
      <w:lvlJc w:val="right"/>
      <w:pPr>
        <w:ind w:left="1740" w:hanging="420"/>
      </w:pPr>
    </w:lvl>
    <w:lvl w:ilvl="3" w:tplc="C1C42FB0" w:tentative="1">
      <w:start w:val="1"/>
      <w:numFmt w:val="decimal"/>
      <w:lvlText w:val="%4."/>
      <w:lvlJc w:val="left"/>
      <w:pPr>
        <w:ind w:left="2160" w:hanging="420"/>
      </w:pPr>
    </w:lvl>
    <w:lvl w:ilvl="4" w:tplc="BD64449C" w:tentative="1">
      <w:start w:val="1"/>
      <w:numFmt w:val="lowerLetter"/>
      <w:lvlText w:val="%5)"/>
      <w:lvlJc w:val="left"/>
      <w:pPr>
        <w:ind w:left="2580" w:hanging="420"/>
      </w:pPr>
    </w:lvl>
    <w:lvl w:ilvl="5" w:tplc="69C2D470" w:tentative="1">
      <w:start w:val="1"/>
      <w:numFmt w:val="lowerRoman"/>
      <w:lvlText w:val="%6."/>
      <w:lvlJc w:val="right"/>
      <w:pPr>
        <w:ind w:left="3000" w:hanging="420"/>
      </w:pPr>
    </w:lvl>
    <w:lvl w:ilvl="6" w:tplc="5936C656" w:tentative="1">
      <w:start w:val="1"/>
      <w:numFmt w:val="decimal"/>
      <w:lvlText w:val="%7."/>
      <w:lvlJc w:val="left"/>
      <w:pPr>
        <w:ind w:left="3420" w:hanging="420"/>
      </w:pPr>
    </w:lvl>
    <w:lvl w:ilvl="7" w:tplc="8BC8ECBA" w:tentative="1">
      <w:start w:val="1"/>
      <w:numFmt w:val="lowerLetter"/>
      <w:lvlText w:val="%8)"/>
      <w:lvlJc w:val="left"/>
      <w:pPr>
        <w:ind w:left="3840" w:hanging="420"/>
      </w:pPr>
    </w:lvl>
    <w:lvl w:ilvl="8" w:tplc="57D28882"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219E"/>
    <w:rsid w:val="002421F2"/>
    <w:rsid w:val="002B69CE"/>
    <w:rsid w:val="0039219E"/>
    <w:rsid w:val="004A4E1E"/>
    <w:rsid w:val="00750C88"/>
    <w:rsid w:val="008835AD"/>
    <w:rsid w:val="0097330A"/>
    <w:rsid w:val="00A13607"/>
    <w:rsid w:val="00A142B8"/>
    <w:rsid w:val="00B238D2"/>
    <w:rsid w:val="00B95A83"/>
    <w:rsid w:val="00C1698F"/>
    <w:rsid w:val="00C81B2E"/>
    <w:rsid w:val="00CF0436"/>
    <w:rsid w:val="00E446C9"/>
    <w:rsid w:val="00F2453A"/>
    <w:rsid w:val="00FC78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19E"/>
    <w:pPr>
      <w:ind w:firstLineChars="200" w:firstLine="420"/>
    </w:pPr>
  </w:style>
  <w:style w:type="character" w:styleId="a4">
    <w:name w:val="Hyperlink"/>
    <w:basedOn w:val="a0"/>
    <w:uiPriority w:val="99"/>
    <w:unhideWhenUsed/>
    <w:rsid w:val="0039219E"/>
    <w:rPr>
      <w:color w:val="0563C1" w:themeColor="hyperlink"/>
      <w:u w:val="single"/>
    </w:rPr>
  </w:style>
  <w:style w:type="character" w:customStyle="1" w:styleId="fontstyle01">
    <w:name w:val="fontstyle01"/>
    <w:basedOn w:val="a0"/>
    <w:rsid w:val="00B95A83"/>
    <w:rPr>
      <w:rFonts w:ascii="宋体" w:eastAsia="宋体" w:hAnsi="宋体" w:hint="eastAsia"/>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f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4</DocSecurity>
  <Lines>5</Lines>
  <Paragraphs>1</Paragraphs>
  <ScaleCrop>false</ScaleCrop>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华宝基金关于旗下部分基金新增广发银行股份有限公司为代销机构的公告</dc:title>
  <dc:creator>韦西苓</dc:creator>
  <cp:lastModifiedBy>ZHONGM</cp:lastModifiedBy>
  <cp:revision>2</cp:revision>
  <dcterms:created xsi:type="dcterms:W3CDTF">2023-12-17T16:00:00Z</dcterms:created>
  <dcterms:modified xsi:type="dcterms:W3CDTF">2023-12-17T16:00:00Z</dcterms:modified>
</cp:coreProperties>
</file>