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5611C5" w:rsidP="00AC3CC5">
      <w:pPr>
        <w:widowControl/>
        <w:spacing w:line="360" w:lineRule="auto"/>
        <w:jc w:val="center"/>
        <w:rPr>
          <w:rFonts w:asciiTheme="minorEastAsia" w:eastAsiaTheme="minorEastAsia" w:hAnsiTheme="minorEastAsia" w:cs="宋体"/>
          <w:b/>
          <w:kern w:val="0"/>
          <w:sz w:val="30"/>
          <w:szCs w:val="30"/>
        </w:rPr>
      </w:pPr>
      <w:r w:rsidRPr="005C57A1">
        <w:rPr>
          <w:rFonts w:asciiTheme="minorEastAsia" w:eastAsiaTheme="minorEastAsia" w:hAnsiTheme="minorEastAsia" w:cs="宋体" w:hint="eastAsia"/>
          <w:b/>
          <w:kern w:val="0"/>
          <w:sz w:val="30"/>
          <w:szCs w:val="30"/>
        </w:rPr>
        <w:t>关于华安安盛3个月定期开放债券型发起式证券投资基金分红公告</w:t>
      </w:r>
    </w:p>
    <w:p w:rsidR="00893436" w:rsidRPr="002825C8" w:rsidRDefault="005611C5" w:rsidP="00AC3CC5">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Pr="002825C8">
        <w:rPr>
          <w:rFonts w:asciiTheme="minorEastAsia" w:eastAsiaTheme="minorEastAsia" w:hAnsiTheme="minorEastAsia" w:cs="宋体"/>
          <w:bCs/>
          <w:sz w:val="24"/>
          <w:szCs w:val="24"/>
        </w:rPr>
        <w:t>2023年12月18日</w:t>
      </w:r>
    </w:p>
    <w:p w:rsidR="00893436" w:rsidRPr="002825C8" w:rsidRDefault="002325AF" w:rsidP="00AC3CC5">
      <w:pPr>
        <w:spacing w:line="360" w:lineRule="auto"/>
        <w:jc w:val="center"/>
        <w:rPr>
          <w:rFonts w:asciiTheme="minorEastAsia" w:eastAsiaTheme="minorEastAsia" w:hAnsiTheme="minorEastAsia"/>
          <w:color w:val="000000"/>
          <w:sz w:val="24"/>
          <w:szCs w:val="24"/>
        </w:rPr>
      </w:pPr>
    </w:p>
    <w:p w:rsidR="00893436" w:rsidRPr="002825C8" w:rsidRDefault="005611C5" w:rsidP="00AC3CC5">
      <w:pPr>
        <w:pStyle w:val="2"/>
        <w:spacing w:line="360" w:lineRule="auto"/>
        <w:rPr>
          <w:rFonts w:asciiTheme="minorEastAsia" w:eastAsiaTheme="minorEastAsia" w:hAnsiTheme="minorEastAsia"/>
          <w:bCs w:val="0"/>
          <w:color w:val="000000"/>
          <w:sz w:val="24"/>
          <w:szCs w:val="24"/>
        </w:rPr>
      </w:pPr>
      <w:bookmarkStart w:id="0" w:name="_Toc275961418"/>
      <w:r w:rsidRPr="002825C8">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3"/>
        <w:gridCol w:w="1565"/>
        <w:gridCol w:w="4861"/>
      </w:tblGrid>
      <w:tr w:rsidR="0019253E" w:rsidTr="001E1256">
        <w:trPr>
          <w:jc w:val="center"/>
        </w:trPr>
        <w:tc>
          <w:tcPr>
            <w:tcW w:w="4778" w:type="dxa"/>
            <w:gridSpan w:val="2"/>
          </w:tcPr>
          <w:p w:rsidR="0039192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w="4861" w:type="dxa"/>
            <w:vAlign w:val="center"/>
          </w:tcPr>
          <w:p w:rsidR="0039192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华安安盛3个月定期开放债券型发起式证券投资基金</w:t>
            </w:r>
          </w:p>
        </w:tc>
      </w:tr>
      <w:tr w:rsidR="0019253E" w:rsidTr="001E1256">
        <w:trPr>
          <w:jc w:val="center"/>
        </w:trPr>
        <w:tc>
          <w:tcPr>
            <w:tcW w:w="4778" w:type="dxa"/>
            <w:gridSpan w:val="2"/>
          </w:tcPr>
          <w:p w:rsidR="0039192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w="4861" w:type="dxa"/>
            <w:vAlign w:val="center"/>
          </w:tcPr>
          <w:p w:rsidR="0039192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华安安盛定开</w:t>
            </w:r>
          </w:p>
        </w:tc>
      </w:tr>
      <w:tr w:rsidR="0019253E" w:rsidTr="001E1256">
        <w:trPr>
          <w:jc w:val="center"/>
        </w:trPr>
        <w:tc>
          <w:tcPr>
            <w:tcW w:w="4778" w:type="dxa"/>
            <w:gridSpan w:val="2"/>
          </w:tcPr>
          <w:p w:rsidR="0039192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w="4861" w:type="dxa"/>
            <w:vAlign w:val="center"/>
          </w:tcPr>
          <w:p w:rsidR="0039192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006936</w:t>
            </w:r>
          </w:p>
        </w:tc>
      </w:tr>
      <w:tr w:rsidR="0019253E" w:rsidTr="001E1256">
        <w:trPr>
          <w:jc w:val="center"/>
        </w:trPr>
        <w:tc>
          <w:tcPr>
            <w:tcW w:w="4778" w:type="dxa"/>
            <w:gridSpan w:val="2"/>
            <w:vAlign w:val="center"/>
          </w:tcPr>
          <w:p w:rsidR="0039192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w="4861" w:type="dxa"/>
            <w:vAlign w:val="center"/>
          </w:tcPr>
          <w:p w:rsidR="0039192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2019年1月25日</w:t>
            </w:r>
          </w:p>
        </w:tc>
      </w:tr>
      <w:tr w:rsidR="0019253E" w:rsidTr="001E1256">
        <w:trPr>
          <w:jc w:val="center"/>
        </w:trPr>
        <w:tc>
          <w:tcPr>
            <w:tcW w:w="4778" w:type="dxa"/>
            <w:gridSpan w:val="2"/>
          </w:tcPr>
          <w:p w:rsidR="0039192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w="4861" w:type="dxa"/>
            <w:vAlign w:val="center"/>
          </w:tcPr>
          <w:p w:rsidR="0039192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华安基金管理有限公司</w:t>
            </w:r>
          </w:p>
        </w:tc>
      </w:tr>
      <w:tr w:rsidR="0019253E" w:rsidTr="001E1256">
        <w:trPr>
          <w:jc w:val="center"/>
        </w:trPr>
        <w:tc>
          <w:tcPr>
            <w:tcW w:w="4778" w:type="dxa"/>
            <w:gridSpan w:val="2"/>
          </w:tcPr>
          <w:p w:rsidR="0039192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w="4861" w:type="dxa"/>
            <w:vAlign w:val="center"/>
          </w:tcPr>
          <w:p w:rsidR="0039192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浙商银行股份有限公司</w:t>
            </w:r>
          </w:p>
        </w:tc>
      </w:tr>
      <w:tr w:rsidR="0019253E" w:rsidTr="001E1256">
        <w:trPr>
          <w:jc w:val="center"/>
        </w:trPr>
        <w:tc>
          <w:tcPr>
            <w:tcW w:w="4778" w:type="dxa"/>
            <w:gridSpan w:val="2"/>
          </w:tcPr>
          <w:p w:rsidR="0039192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w="4861" w:type="dxa"/>
            <w:vAlign w:val="center"/>
          </w:tcPr>
          <w:p w:rsidR="0039192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根据法律法规和《华安安盛3个月定期开放债券型发起式证券投资基金合同》的约定</w:t>
            </w:r>
          </w:p>
        </w:tc>
      </w:tr>
      <w:tr w:rsidR="0019253E" w:rsidTr="001E1256">
        <w:trPr>
          <w:jc w:val="center"/>
        </w:trPr>
        <w:tc>
          <w:tcPr>
            <w:tcW w:w="4778" w:type="dxa"/>
            <w:gridSpan w:val="2"/>
          </w:tcPr>
          <w:p w:rsidR="00893436"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w="4861" w:type="dxa"/>
          </w:tcPr>
          <w:p w:rsidR="00893436"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2023年12月11日</w:t>
            </w:r>
          </w:p>
        </w:tc>
      </w:tr>
      <w:tr w:rsidR="0019253E" w:rsidTr="001E1256">
        <w:trPr>
          <w:jc w:val="center"/>
        </w:trPr>
        <w:tc>
          <w:tcPr>
            <w:tcW w:w="3213" w:type="dxa"/>
            <w:vMerge w:val="restart"/>
            <w:vAlign w:val="center"/>
          </w:tcPr>
          <w:p w:rsidR="00893436" w:rsidRPr="002825C8" w:rsidRDefault="005611C5" w:rsidP="005611C5">
            <w:pPr>
              <w:spacing w:line="360" w:lineRule="auto"/>
              <w:jc w:val="left"/>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截止收益分配基准日的相关指标</w:t>
            </w:r>
          </w:p>
        </w:tc>
        <w:tc>
          <w:tcPr>
            <w:tcW w:w="1565" w:type="dxa"/>
          </w:tcPr>
          <w:p w:rsidR="00893436" w:rsidRPr="002825C8" w:rsidRDefault="005611C5" w:rsidP="005611C5">
            <w:pPr>
              <w:spacing w:line="360" w:lineRule="auto"/>
              <w:jc w:val="left"/>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基准日基金份额净值</w:t>
            </w:r>
            <w:r w:rsidRPr="002825C8">
              <w:rPr>
                <w:rFonts w:asciiTheme="minorEastAsia" w:eastAsiaTheme="minorEastAsia" w:hAnsiTheme="minorEastAsia" w:hint="eastAsia"/>
                <w:sz w:val="24"/>
                <w:szCs w:val="24"/>
              </w:rPr>
              <w:t>（单位：</w:t>
            </w:r>
            <w:r w:rsidRPr="002825C8">
              <w:rPr>
                <w:rFonts w:asciiTheme="minorEastAsia" w:eastAsiaTheme="minorEastAsia" w:hAnsiTheme="minorEastAsia" w:hint="eastAsia"/>
                <w:color w:val="000000"/>
                <w:kern w:val="0"/>
                <w:sz w:val="24"/>
                <w:szCs w:val="24"/>
              </w:rPr>
              <w:t>元</w:t>
            </w:r>
            <w:r w:rsidRPr="002825C8">
              <w:rPr>
                <w:rFonts w:asciiTheme="minorEastAsia" w:eastAsiaTheme="minorEastAsia" w:hAnsiTheme="minorEastAsia" w:hint="eastAsia"/>
                <w:sz w:val="24"/>
                <w:szCs w:val="24"/>
              </w:rPr>
              <w:t>）</w:t>
            </w:r>
          </w:p>
        </w:tc>
        <w:tc>
          <w:tcPr>
            <w:tcW w:w="4861" w:type="dxa"/>
          </w:tcPr>
          <w:p w:rsidR="00893436" w:rsidRPr="002825C8" w:rsidRDefault="005611C5" w:rsidP="005611C5">
            <w:pPr>
              <w:spacing w:line="360" w:lineRule="auto"/>
              <w:jc w:val="left"/>
              <w:rPr>
                <w:rFonts w:asciiTheme="minorEastAsia" w:eastAsiaTheme="minorEastAsia" w:hAnsiTheme="minorEastAsia"/>
                <w:sz w:val="24"/>
                <w:szCs w:val="24"/>
              </w:rPr>
            </w:pPr>
            <w:r w:rsidRPr="002825C8">
              <w:rPr>
                <w:rFonts w:asciiTheme="minorEastAsia" w:eastAsiaTheme="minorEastAsia" w:hAnsiTheme="minorEastAsia"/>
                <w:sz w:val="24"/>
                <w:szCs w:val="24"/>
              </w:rPr>
              <w:t>1.0305</w:t>
            </w:r>
          </w:p>
        </w:tc>
      </w:tr>
      <w:tr w:rsidR="0019253E" w:rsidTr="001E1256">
        <w:trPr>
          <w:jc w:val="center"/>
        </w:trPr>
        <w:tc>
          <w:tcPr>
            <w:tcW w:w="3213" w:type="dxa"/>
            <w:vMerge/>
          </w:tcPr>
          <w:p w:rsidR="00893436" w:rsidRPr="002825C8" w:rsidRDefault="002325AF" w:rsidP="005611C5">
            <w:pPr>
              <w:spacing w:line="360" w:lineRule="auto"/>
              <w:jc w:val="left"/>
              <w:rPr>
                <w:rFonts w:asciiTheme="minorEastAsia" w:eastAsiaTheme="minorEastAsia" w:hAnsiTheme="minorEastAsia"/>
                <w:color w:val="000000"/>
                <w:sz w:val="24"/>
                <w:szCs w:val="24"/>
              </w:rPr>
            </w:pPr>
          </w:p>
        </w:tc>
        <w:tc>
          <w:tcPr>
            <w:tcW w:w="1565" w:type="dxa"/>
          </w:tcPr>
          <w:p w:rsidR="00893436" w:rsidRPr="002825C8" w:rsidRDefault="005611C5" w:rsidP="005611C5">
            <w:pPr>
              <w:spacing w:line="360" w:lineRule="auto"/>
              <w:jc w:val="left"/>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基准日基金可供分配利润</w:t>
            </w:r>
            <w:r w:rsidRPr="002825C8">
              <w:rPr>
                <w:rFonts w:asciiTheme="minorEastAsia" w:eastAsiaTheme="minorEastAsia" w:hAnsiTheme="minorEastAsia" w:hint="eastAsia"/>
                <w:sz w:val="24"/>
                <w:szCs w:val="24"/>
              </w:rPr>
              <w:t>（单位：</w:t>
            </w:r>
            <w:r w:rsidRPr="002825C8">
              <w:rPr>
                <w:rFonts w:asciiTheme="minorEastAsia" w:eastAsiaTheme="minorEastAsia" w:hAnsiTheme="minorEastAsia" w:hint="eastAsia"/>
                <w:color w:val="000000"/>
                <w:kern w:val="0"/>
                <w:sz w:val="24"/>
                <w:szCs w:val="24"/>
              </w:rPr>
              <w:t>元</w:t>
            </w:r>
            <w:r w:rsidRPr="002825C8">
              <w:rPr>
                <w:rFonts w:asciiTheme="minorEastAsia" w:eastAsiaTheme="minorEastAsia" w:hAnsiTheme="minorEastAsia" w:hint="eastAsia"/>
                <w:sz w:val="24"/>
                <w:szCs w:val="24"/>
              </w:rPr>
              <w:t>）</w:t>
            </w:r>
          </w:p>
        </w:tc>
        <w:tc>
          <w:tcPr>
            <w:tcW w:w="4861" w:type="dxa"/>
          </w:tcPr>
          <w:p w:rsidR="00893436" w:rsidRPr="002825C8" w:rsidRDefault="005611C5" w:rsidP="005611C5">
            <w:pPr>
              <w:spacing w:line="360" w:lineRule="auto"/>
              <w:jc w:val="left"/>
              <w:rPr>
                <w:rFonts w:asciiTheme="minorEastAsia" w:eastAsiaTheme="minorEastAsia" w:hAnsiTheme="minorEastAsia"/>
                <w:sz w:val="24"/>
                <w:szCs w:val="24"/>
              </w:rPr>
            </w:pPr>
            <w:r w:rsidRPr="002825C8">
              <w:rPr>
                <w:rFonts w:asciiTheme="minorEastAsia" w:eastAsiaTheme="minorEastAsia" w:hAnsiTheme="minorEastAsia"/>
                <w:sz w:val="24"/>
                <w:szCs w:val="24"/>
              </w:rPr>
              <w:t>42,172,695.49</w:t>
            </w:r>
          </w:p>
        </w:tc>
      </w:tr>
      <w:tr w:rsidR="0019253E" w:rsidTr="001E1256">
        <w:trPr>
          <w:jc w:val="center"/>
        </w:trPr>
        <w:tc>
          <w:tcPr>
            <w:tcW w:w="4778" w:type="dxa"/>
            <w:gridSpan w:val="2"/>
          </w:tcPr>
          <w:p w:rsidR="00893436" w:rsidRPr="002825C8" w:rsidRDefault="005611C5" w:rsidP="005611C5">
            <w:pPr>
              <w:spacing w:line="360" w:lineRule="auto"/>
              <w:jc w:val="left"/>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本次分红方案（单位：元/10份基金份额）</w:t>
            </w:r>
          </w:p>
        </w:tc>
        <w:tc>
          <w:tcPr>
            <w:tcW w:w="4861" w:type="dxa"/>
          </w:tcPr>
          <w:p w:rsidR="00893436" w:rsidRPr="002825C8" w:rsidRDefault="005611C5" w:rsidP="005611C5">
            <w:pPr>
              <w:spacing w:line="360" w:lineRule="auto"/>
              <w:jc w:val="left"/>
              <w:rPr>
                <w:rFonts w:asciiTheme="minorEastAsia" w:eastAsiaTheme="minorEastAsia" w:hAnsiTheme="minorEastAsia"/>
                <w:sz w:val="24"/>
                <w:szCs w:val="24"/>
              </w:rPr>
            </w:pPr>
            <w:r w:rsidRPr="002825C8">
              <w:rPr>
                <w:rFonts w:asciiTheme="minorEastAsia" w:eastAsiaTheme="minorEastAsia" w:hAnsiTheme="minorEastAsia"/>
                <w:sz w:val="24"/>
                <w:szCs w:val="24"/>
              </w:rPr>
              <w:t>0.0340</w:t>
            </w:r>
          </w:p>
        </w:tc>
      </w:tr>
      <w:tr w:rsidR="0019253E" w:rsidTr="001E1256">
        <w:trPr>
          <w:jc w:val="center"/>
        </w:trPr>
        <w:tc>
          <w:tcPr>
            <w:tcW w:w="4778" w:type="dxa"/>
            <w:gridSpan w:val="2"/>
            <w:vAlign w:val="center"/>
          </w:tcPr>
          <w:p w:rsidR="00893436" w:rsidRPr="002825C8" w:rsidRDefault="005611C5" w:rsidP="005611C5">
            <w:pPr>
              <w:spacing w:line="360" w:lineRule="auto"/>
              <w:jc w:val="left"/>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有关年度分红次数的说明</w:t>
            </w:r>
          </w:p>
        </w:tc>
        <w:tc>
          <w:tcPr>
            <w:tcW w:w="4861" w:type="dxa"/>
            <w:vAlign w:val="center"/>
          </w:tcPr>
          <w:p w:rsidR="00893436" w:rsidRPr="002825C8" w:rsidRDefault="005611C5" w:rsidP="005611C5">
            <w:pPr>
              <w:spacing w:line="360" w:lineRule="auto"/>
              <w:jc w:val="left"/>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本次分红为2023年度的第三次分红</w:t>
            </w:r>
          </w:p>
        </w:tc>
      </w:tr>
    </w:tbl>
    <w:p w:rsidR="00893436" w:rsidRPr="002825C8" w:rsidRDefault="005611C5" w:rsidP="00AC3CC5">
      <w:pPr>
        <w:pStyle w:val="2"/>
        <w:spacing w:line="360" w:lineRule="auto"/>
        <w:rPr>
          <w:rFonts w:asciiTheme="minorEastAsia" w:eastAsiaTheme="minorEastAsia" w:hAnsiTheme="minorEastAsia"/>
          <w:bCs w:val="0"/>
          <w:color w:val="000000"/>
          <w:sz w:val="24"/>
          <w:szCs w:val="24"/>
        </w:rPr>
      </w:pPr>
      <w:bookmarkStart w:id="1" w:name="_Toc275961419"/>
      <w:r w:rsidRPr="002825C8">
        <w:rPr>
          <w:rFonts w:asciiTheme="minorEastAsia" w:eastAsiaTheme="minorEastAsia" w:hAnsiTheme="minorEastAsia"/>
          <w:bCs w:val="0"/>
          <w:color w:val="000000"/>
          <w:sz w:val="24"/>
          <w:szCs w:val="24"/>
        </w:rPr>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19253E" w:rsidTr="007C142C">
        <w:trPr>
          <w:jc w:val="center"/>
        </w:trPr>
        <w:tc>
          <w:tcPr>
            <w:tcW w:w="4355" w:type="dxa"/>
          </w:tcPr>
          <w:p w:rsidR="00893436"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w="4355" w:type="dxa"/>
          </w:tcPr>
          <w:p w:rsidR="00893436"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2023年12月20日</w:t>
            </w:r>
          </w:p>
        </w:tc>
      </w:tr>
      <w:tr w:rsidR="0019253E" w:rsidTr="007C142C">
        <w:trPr>
          <w:jc w:val="center"/>
        </w:trPr>
        <w:tc>
          <w:tcPr>
            <w:tcW w:w="4355" w:type="dxa"/>
          </w:tcPr>
          <w:p w:rsidR="0009778C"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w="8710" w:type="dxa"/>
          </w:tcPr>
          <w:p w:rsidR="0009778C"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2023年12月20</w:t>
            </w:r>
            <w:r>
              <w:rPr>
                <w:rFonts w:asciiTheme="minorEastAsia" w:eastAsiaTheme="minorEastAsia" w:hAnsiTheme="minorEastAsia"/>
                <w:sz w:val="24"/>
                <w:szCs w:val="24"/>
              </w:rPr>
              <w:t>日</w:t>
            </w:r>
          </w:p>
        </w:tc>
      </w:tr>
      <w:tr w:rsidR="0019253E" w:rsidTr="007C142C">
        <w:trPr>
          <w:jc w:val="center"/>
        </w:trPr>
        <w:tc>
          <w:tcPr>
            <w:tcW w:w="4355" w:type="dxa"/>
          </w:tcPr>
          <w:p w:rsidR="00893436"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lastRenderedPageBreak/>
              <w:t>现金红利发放日</w:t>
            </w:r>
          </w:p>
        </w:tc>
        <w:tc>
          <w:tcPr>
            <w:tcW w:w="4355" w:type="dxa"/>
          </w:tcPr>
          <w:p w:rsidR="00893436"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2023年12月21日</w:t>
            </w:r>
          </w:p>
        </w:tc>
      </w:tr>
      <w:tr w:rsidR="0019253E" w:rsidTr="007C142C">
        <w:trPr>
          <w:jc w:val="center"/>
        </w:trPr>
        <w:tc>
          <w:tcPr>
            <w:tcW w:w="4355" w:type="dxa"/>
          </w:tcPr>
          <w:p w:rsidR="00893436"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w="4355" w:type="dxa"/>
            <w:shd w:val="clear" w:color="auto" w:fill="auto"/>
          </w:tcPr>
          <w:p w:rsidR="00893436"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权益登记日在华安基金管理有限公司登记在册的本基金全体持有人</w:t>
            </w:r>
          </w:p>
        </w:tc>
      </w:tr>
      <w:tr w:rsidR="0019253E" w:rsidTr="007C142C">
        <w:trPr>
          <w:jc w:val="center"/>
        </w:trPr>
        <w:tc>
          <w:tcPr>
            <w:tcW w:w="4355" w:type="dxa"/>
            <w:shd w:val="clear" w:color="auto" w:fill="auto"/>
            <w:vAlign w:val="center"/>
          </w:tcPr>
          <w:p w:rsidR="00893436"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w="4355" w:type="dxa"/>
            <w:shd w:val="clear" w:color="auto" w:fill="auto"/>
          </w:tcPr>
          <w:p w:rsidR="0019253E" w:rsidRDefault="005611C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1）红利再投资日：2023年12月21日；</w:t>
            </w:r>
          </w:p>
          <w:p w:rsidR="0019253E" w:rsidRDefault="005611C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2）选择红利再投资方式的投资者红利再投资份额将于2023年12月22日直接计入其基金账户，12月25日起可查询、赎回；</w:t>
            </w:r>
          </w:p>
          <w:p w:rsidR="0019253E" w:rsidRDefault="005611C5">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3）红利再投资按红利划出日（2023年12月21日）的基金份额净值再投资基金份额，不足0.01份基金份额的，四舍五入；</w:t>
            </w:r>
          </w:p>
          <w:p w:rsidR="00893436"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4）权益登记日之前（2023年12月20日）被冻结或托管转出尚未转入的基金份额应分得的现金红利按红利再投资方式处理。</w:t>
            </w:r>
          </w:p>
        </w:tc>
      </w:tr>
      <w:tr w:rsidR="0019253E" w:rsidTr="007C142C">
        <w:trPr>
          <w:jc w:val="center"/>
        </w:trPr>
        <w:tc>
          <w:tcPr>
            <w:tcW w:w="4355" w:type="dxa"/>
          </w:tcPr>
          <w:p w:rsidR="00893436"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w="4355" w:type="dxa"/>
            <w:shd w:val="clear" w:color="auto" w:fill="auto"/>
          </w:tcPr>
          <w:p w:rsidR="00893436"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根据相关法律法规的规定，对投资者（包括个人和机构投资者）从基金分配中取得的收入，暂不征收个人所得税和企业所得税。</w:t>
            </w:r>
          </w:p>
        </w:tc>
      </w:tr>
      <w:tr w:rsidR="0019253E" w:rsidTr="007C142C">
        <w:trPr>
          <w:jc w:val="center"/>
        </w:trPr>
        <w:tc>
          <w:tcPr>
            <w:tcW w:w="4355" w:type="dxa"/>
          </w:tcPr>
          <w:p w:rsidR="00893436" w:rsidRPr="002825C8" w:rsidRDefault="005611C5"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w="4355" w:type="dxa"/>
            <w:shd w:val="clear" w:color="auto" w:fill="auto"/>
          </w:tcPr>
          <w:p w:rsidR="00893436" w:rsidRPr="002825C8" w:rsidRDefault="005611C5"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本基金本次分红免收分红手续费和再投资手续费。</w:t>
            </w:r>
          </w:p>
        </w:tc>
      </w:tr>
    </w:tbl>
    <w:p w:rsidR="00893436" w:rsidRPr="002825C8" w:rsidRDefault="005611C5" w:rsidP="00AC3CC5">
      <w:pPr>
        <w:pStyle w:val="2"/>
        <w:spacing w:line="360" w:lineRule="auto"/>
        <w:rPr>
          <w:rFonts w:asciiTheme="minorEastAsia" w:eastAsiaTheme="minorEastAsia" w:hAnsiTheme="minorEastAsia"/>
          <w:bCs w:val="0"/>
          <w:color w:val="000000"/>
          <w:sz w:val="24"/>
          <w:szCs w:val="24"/>
        </w:rPr>
      </w:pPr>
      <w:bookmarkStart w:id="2" w:name="_Toc275961420"/>
      <w:r w:rsidRPr="002825C8">
        <w:rPr>
          <w:rFonts w:asciiTheme="minorEastAsia" w:eastAsiaTheme="minorEastAsia" w:hAnsiTheme="minorEastAsia"/>
          <w:bCs w:val="0"/>
          <w:color w:val="000000"/>
          <w:sz w:val="24"/>
          <w:szCs w:val="24"/>
        </w:rPr>
        <w:t>3 其他需要提示的事项</w:t>
      </w:r>
      <w:bookmarkEnd w:id="2"/>
    </w:p>
    <w:p w:rsidR="0019253E" w:rsidRDefault="005611C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1）基金份额持有人可以选择现金红利或将所获红利再投资于本基金，如果基金份额持有人未选择本基金具体分红方式，则默认为现金方式。</w:t>
      </w:r>
    </w:p>
    <w:p w:rsidR="0019253E" w:rsidRDefault="005611C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2）投资者可以在每个基金开放日的交易时间内到销售网点查询和修改分红方式，也可以通过华安基金管理公司网站或电话交易系统查询和变更基金收益分配方式。如投资者在不同销售机构选择的分红方式不同，将按照投资者在权益登记日之前最后一次选择的分红方式为准。 </w:t>
      </w:r>
    </w:p>
    <w:p w:rsidR="0019253E" w:rsidRDefault="005611C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凡希望修改分红方式的，请务必在2023年12月19日之前（含该日）办理变更手续。 </w:t>
      </w:r>
    </w:p>
    <w:p w:rsidR="0019253E" w:rsidRDefault="005611C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3）如有其它疑问,请拨打本公司客户服务电话(40088-50099)或登陆本公司网站(www.huaan.com.cn)获取相关信息。 </w:t>
      </w:r>
    </w:p>
    <w:p w:rsidR="0019253E" w:rsidRDefault="005611C5">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lastRenderedPageBreak/>
        <w:t xml:space="preserve">特此公告。    </w:t>
      </w:r>
      <w:bookmarkStart w:id="3" w:name="_GoBack"/>
      <w:bookmarkEnd w:id="3"/>
    </w:p>
    <w:p w:rsidR="0019253E" w:rsidRDefault="005611C5" w:rsidP="005611C5">
      <w:pPr>
        <w:spacing w:line="360" w:lineRule="auto"/>
        <w:ind w:firstLineChars="200" w:firstLine="48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                                       华安基金管理有限公司</w:t>
      </w:r>
    </w:p>
    <w:p w:rsidR="00364C2A" w:rsidRPr="002825C8" w:rsidRDefault="005611C5" w:rsidP="005611C5">
      <w:pPr>
        <w:spacing w:line="360" w:lineRule="auto"/>
        <w:ind w:firstLineChars="200" w:firstLine="480"/>
        <w:jc w:val="right"/>
        <w:rPr>
          <w:rFonts w:asciiTheme="minorEastAsia" w:eastAsiaTheme="minorEastAsia" w:hAnsiTheme="minorEastAsia"/>
          <w:sz w:val="24"/>
          <w:szCs w:val="24"/>
        </w:rPr>
      </w:pPr>
      <w:r w:rsidRPr="002825C8">
        <w:rPr>
          <w:rFonts w:asciiTheme="minorEastAsia" w:eastAsiaTheme="minorEastAsia" w:hAnsiTheme="minorEastAsia"/>
          <w:sz w:val="24"/>
          <w:szCs w:val="24"/>
        </w:rPr>
        <w:t xml:space="preserve">                                           2023年12月18日</w:t>
      </w:r>
    </w:p>
    <w:sectPr w:rsidR="00364C2A" w:rsidRPr="002825C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C5" w:rsidRDefault="005611C5" w:rsidP="005611C5">
      <w:r>
        <w:separator/>
      </w:r>
    </w:p>
  </w:endnote>
  <w:endnote w:type="continuationSeparator" w:id="0">
    <w:p w:rsidR="005611C5" w:rsidRDefault="005611C5" w:rsidP="005611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C5" w:rsidRDefault="005611C5" w:rsidP="005611C5">
      <w:r>
        <w:separator/>
      </w:r>
    </w:p>
  </w:footnote>
  <w:footnote w:type="continuationSeparator" w:id="0">
    <w:p w:rsidR="005611C5" w:rsidRDefault="005611C5" w:rsidP="005611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53E"/>
    <w:rsid w:val="0019253E"/>
    <w:rsid w:val="002325AF"/>
    <w:rsid w:val="005611C5"/>
    <w:rsid w:val="00FA3A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Words>
  <Characters>1039</Characters>
  <Application>Microsoft Office Word</Application>
  <DocSecurity>4</DocSecurity>
  <Lines>8</Lines>
  <Paragraphs>2</Paragraphs>
  <ScaleCrop>false</ScaleCrop>
  <Company>微软中国</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2023-12-17T16:00:00Z</dcterms:created>
  <dcterms:modified xsi:type="dcterms:W3CDTF">2023-12-17T16:00:00Z</dcterms:modified>
</cp:coreProperties>
</file>