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2346">
      <w:pPr>
        <w:widowControl/>
        <w:jc w:val="center"/>
        <w:rPr>
          <w:rFonts w:ascii="黑体" w:eastAsia="黑体" w:hAnsi="黑体" w:cs="黑体" w:hint="eastAsia"/>
          <w:b/>
          <w:bCs/>
          <w:kern w:val="0"/>
          <w:szCs w:val="32"/>
        </w:rPr>
      </w:pPr>
      <w:r>
        <w:rPr>
          <w:rFonts w:ascii="黑体" w:eastAsia="黑体" w:hAnsi="黑体" w:cs="黑体" w:hint="eastAsia"/>
          <w:b/>
          <w:bCs/>
          <w:kern w:val="0"/>
          <w:szCs w:val="32"/>
        </w:rPr>
        <w:t>2023</w:t>
      </w:r>
      <w:r>
        <w:rPr>
          <w:rFonts w:ascii="黑体" w:eastAsia="黑体" w:hAnsi="黑体" w:cs="黑体" w:hint="eastAsia"/>
          <w:b/>
          <w:bCs/>
          <w:kern w:val="0"/>
          <w:szCs w:val="32"/>
        </w:rPr>
        <w:t>年度东吴瑞盈</w:t>
      </w:r>
      <w:r>
        <w:rPr>
          <w:rFonts w:ascii="黑体" w:eastAsia="黑体" w:hAnsi="黑体" w:cs="黑体" w:hint="eastAsia"/>
          <w:b/>
          <w:bCs/>
          <w:kern w:val="0"/>
          <w:szCs w:val="32"/>
        </w:rPr>
        <w:t>63</w:t>
      </w:r>
      <w:r>
        <w:rPr>
          <w:rFonts w:ascii="黑体" w:eastAsia="黑体" w:hAnsi="黑体" w:cs="黑体" w:hint="eastAsia"/>
          <w:b/>
          <w:bCs/>
          <w:kern w:val="0"/>
          <w:szCs w:val="32"/>
        </w:rPr>
        <w:t>个月定期开放债券型证券投资基金</w:t>
      </w:r>
    </w:p>
    <w:p w:rsidR="00000000" w:rsidRDefault="00172346">
      <w:pPr>
        <w:widowControl/>
        <w:jc w:val="center"/>
        <w:rPr>
          <w:rFonts w:ascii="黑体" w:eastAsia="黑体" w:hAnsi="黑体" w:cs="黑体" w:hint="eastAsia"/>
          <w:b/>
          <w:bCs/>
          <w:kern w:val="0"/>
          <w:szCs w:val="32"/>
        </w:rPr>
      </w:pPr>
      <w:r>
        <w:rPr>
          <w:rFonts w:ascii="黑体" w:eastAsia="黑体" w:hAnsi="黑体" w:cs="黑体" w:hint="eastAsia"/>
          <w:b/>
          <w:bCs/>
          <w:kern w:val="0"/>
          <w:szCs w:val="32"/>
        </w:rPr>
        <w:t>分红公告</w:t>
      </w:r>
    </w:p>
    <w:p w:rsidR="00000000" w:rsidRDefault="00172346">
      <w:pPr>
        <w:spacing w:line="560" w:lineRule="exact"/>
        <w:jc w:val="center"/>
        <w:rPr>
          <w:rFonts w:ascii="宋体" w:eastAsia="宋体" w:hAnsi="宋体" w:cs="宋体" w:hint="eastAsia"/>
          <w:sz w:val="21"/>
          <w:szCs w:val="21"/>
        </w:rPr>
      </w:pPr>
      <w:r>
        <w:rPr>
          <w:rFonts w:ascii="宋体" w:eastAsia="宋体" w:hAnsi="宋体" w:cs="宋体" w:hint="eastAsia"/>
          <w:sz w:val="21"/>
          <w:szCs w:val="21"/>
        </w:rPr>
        <w:t>公告送出日期：</w:t>
      </w:r>
      <w:r>
        <w:rPr>
          <w:rFonts w:ascii="宋体" w:eastAsia="宋体" w:hAnsi="宋体" w:cs="宋体" w:hint="eastAsia"/>
          <w:sz w:val="21"/>
          <w:szCs w:val="21"/>
        </w:rPr>
        <w:t>2023</w:t>
      </w:r>
      <w:r>
        <w:rPr>
          <w:rFonts w:ascii="宋体" w:eastAsia="宋体" w:hAnsi="宋体" w:cs="宋体" w:hint="eastAsia"/>
          <w:sz w:val="21"/>
          <w:szCs w:val="21"/>
        </w:rPr>
        <w:t>年</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w:t>
      </w:r>
    </w:p>
    <w:p w:rsidR="00000000" w:rsidRDefault="00172346">
      <w:pPr>
        <w:pStyle w:val="2"/>
        <w:spacing w:line="560" w:lineRule="exact"/>
        <w:rPr>
          <w:rFonts w:ascii="宋体" w:eastAsia="宋体" w:hAnsi="宋体" w:cs="宋体" w:hint="eastAsia"/>
          <w:bCs w:val="0"/>
          <w:sz w:val="24"/>
          <w:szCs w:val="24"/>
        </w:rPr>
      </w:pPr>
      <w:bookmarkStart w:id="0" w:name="_Toc275961418"/>
      <w:r>
        <w:rPr>
          <w:rFonts w:ascii="宋体" w:eastAsia="宋体" w:hAnsi="宋体" w:cs="宋体" w:hint="eastAsia"/>
          <w:bCs w:val="0"/>
          <w:sz w:val="24"/>
          <w:szCs w:val="24"/>
        </w:rPr>
        <w:t xml:space="preserve">1 </w:t>
      </w:r>
      <w:r>
        <w:rPr>
          <w:rFonts w:ascii="宋体" w:eastAsia="宋体" w:hAnsi="宋体" w:cs="宋体" w:hint="eastAsia"/>
          <w:bCs w:val="0"/>
          <w:sz w:val="24"/>
          <w:szCs w:val="24"/>
        </w:rPr>
        <w:t>公告基本信息</w:t>
      </w:r>
      <w:bookmarkEnd w:id="0"/>
    </w:p>
    <w:tbl>
      <w:tblPr>
        <w:tblW w:w="849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8"/>
        <w:gridCol w:w="2547"/>
        <w:gridCol w:w="4482"/>
      </w:tblGrid>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基金名称</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东吴瑞盈</w:t>
            </w:r>
            <w:r>
              <w:rPr>
                <w:rFonts w:ascii="宋体" w:eastAsia="宋体" w:hAnsi="宋体" w:cs="宋体" w:hint="eastAsia"/>
                <w:sz w:val="21"/>
                <w:szCs w:val="21"/>
              </w:rPr>
              <w:t>63</w:t>
            </w:r>
            <w:r>
              <w:rPr>
                <w:rFonts w:ascii="宋体" w:eastAsia="宋体" w:hAnsi="宋体" w:cs="宋体" w:hint="eastAsia"/>
                <w:sz w:val="21"/>
                <w:szCs w:val="21"/>
              </w:rPr>
              <w:t>个月定期开放债券型证券投资基金</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基金简称</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东吴瑞盈</w:t>
            </w:r>
            <w:r>
              <w:rPr>
                <w:rFonts w:ascii="宋体" w:eastAsia="宋体" w:hAnsi="宋体" w:cs="宋体" w:hint="eastAsia"/>
                <w:sz w:val="21"/>
                <w:szCs w:val="21"/>
              </w:rPr>
              <w:t>63</w:t>
            </w:r>
            <w:r>
              <w:rPr>
                <w:rFonts w:ascii="宋体" w:eastAsia="宋体" w:hAnsi="宋体" w:cs="宋体" w:hint="eastAsia"/>
                <w:sz w:val="21"/>
                <w:szCs w:val="21"/>
              </w:rPr>
              <w:t>个月定开债券</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基金主代码</w:t>
            </w:r>
          </w:p>
        </w:tc>
        <w:tc>
          <w:tcPr>
            <w:tcW w:w="4482" w:type="dxa"/>
            <w:vAlign w:val="center"/>
          </w:tcPr>
          <w:p w:rsidR="00000000" w:rsidRDefault="00172346">
            <w:pPr>
              <w:jc w:val="left"/>
              <w:rPr>
                <w:rFonts w:ascii="宋体" w:eastAsia="宋体" w:hAnsi="宋体" w:cs="宋体"/>
                <w:sz w:val="21"/>
                <w:szCs w:val="21"/>
              </w:rPr>
            </w:pPr>
            <w:r>
              <w:rPr>
                <w:rFonts w:ascii="宋体" w:eastAsia="宋体" w:hAnsi="宋体" w:cs="宋体" w:hint="eastAsia"/>
                <w:sz w:val="21"/>
                <w:szCs w:val="21"/>
              </w:rPr>
              <w:t>010719</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基金合同生效日</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20</w:t>
            </w:r>
            <w:r>
              <w:rPr>
                <w:rFonts w:ascii="宋体" w:eastAsia="宋体" w:hAnsi="宋体" w:cs="宋体" w:hint="eastAsia"/>
                <w:sz w:val="21"/>
                <w:szCs w:val="21"/>
              </w:rPr>
              <w:t>21</w:t>
            </w:r>
            <w:r>
              <w:rPr>
                <w:rFonts w:ascii="宋体" w:eastAsia="宋体" w:hAnsi="宋体" w:cs="宋体" w:hint="eastAsia"/>
                <w:sz w:val="21"/>
                <w:szCs w:val="21"/>
              </w:rPr>
              <w:t>年</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基金管理人名称</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东吴基金管理有限公司</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基金托管人名称</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招商银行股份有限公司</w:t>
            </w:r>
          </w:p>
        </w:tc>
      </w:tr>
      <w:tr w:rsidR="00000000">
        <w:trPr>
          <w:jc w:val="center"/>
        </w:trPr>
        <w:tc>
          <w:tcPr>
            <w:tcW w:w="4015" w:type="dxa"/>
            <w:gridSpan w:val="2"/>
          </w:tcPr>
          <w:p w:rsidR="00000000" w:rsidRDefault="00172346">
            <w:pPr>
              <w:spacing w:line="560" w:lineRule="exact"/>
              <w:jc w:val="left"/>
              <w:rPr>
                <w:rFonts w:ascii="宋体" w:eastAsia="宋体" w:hAnsi="宋体" w:cs="宋体" w:hint="eastAsia"/>
                <w:sz w:val="21"/>
                <w:szCs w:val="21"/>
              </w:rPr>
            </w:pPr>
            <w:r>
              <w:rPr>
                <w:rFonts w:ascii="宋体" w:eastAsia="宋体" w:hAnsi="宋体" w:cs="宋体" w:hint="eastAsia"/>
                <w:sz w:val="21"/>
                <w:szCs w:val="21"/>
              </w:rPr>
              <w:t>公告依据</w:t>
            </w:r>
          </w:p>
        </w:tc>
        <w:tc>
          <w:tcPr>
            <w:tcW w:w="4482"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根据《中华人民共和国证券投资基金法》《公开募集证券投资基金运作管理办法》</w:t>
            </w:r>
            <w:r>
              <w:rPr>
                <w:rFonts w:eastAsia="宋体" w:cs="宋体" w:hint="eastAsia"/>
                <w:sz w:val="21"/>
                <w:szCs w:val="21"/>
              </w:rPr>
              <w:t>等相关法律法规以及</w:t>
            </w:r>
            <w:r>
              <w:rPr>
                <w:rFonts w:ascii="宋体" w:eastAsia="宋体" w:hAnsi="宋体" w:cs="宋体" w:hint="eastAsia"/>
                <w:sz w:val="21"/>
                <w:szCs w:val="21"/>
              </w:rPr>
              <w:t>《东吴瑞盈</w:t>
            </w:r>
            <w:r>
              <w:rPr>
                <w:rFonts w:ascii="宋体" w:eastAsia="宋体" w:hAnsi="宋体" w:cs="宋体" w:hint="eastAsia"/>
                <w:sz w:val="21"/>
                <w:szCs w:val="21"/>
              </w:rPr>
              <w:t>63</w:t>
            </w:r>
            <w:r>
              <w:rPr>
                <w:rFonts w:ascii="宋体" w:eastAsia="宋体" w:hAnsi="宋体" w:cs="宋体" w:hint="eastAsia"/>
                <w:sz w:val="21"/>
                <w:szCs w:val="21"/>
              </w:rPr>
              <w:t>个月定期开放债券型证券投资基金基金合</w:t>
            </w:r>
            <w:r>
              <w:rPr>
                <w:rFonts w:ascii="宋体" w:eastAsia="宋体" w:hAnsi="宋体" w:cs="宋体" w:hint="eastAsia"/>
                <w:sz w:val="21"/>
                <w:szCs w:val="21"/>
              </w:rPr>
              <w:t>同》《东吴瑞盈</w:t>
            </w:r>
            <w:r>
              <w:rPr>
                <w:rFonts w:ascii="宋体" w:eastAsia="宋体" w:hAnsi="宋体" w:cs="宋体" w:hint="eastAsia"/>
                <w:sz w:val="21"/>
                <w:szCs w:val="21"/>
              </w:rPr>
              <w:t>63</w:t>
            </w:r>
            <w:r>
              <w:rPr>
                <w:rFonts w:ascii="宋体" w:eastAsia="宋体" w:hAnsi="宋体" w:cs="宋体" w:hint="eastAsia"/>
                <w:sz w:val="21"/>
                <w:szCs w:val="21"/>
              </w:rPr>
              <w:t>个月定期开放债券型证券投资基金招募说明书》的有关约定</w:t>
            </w:r>
          </w:p>
        </w:tc>
      </w:tr>
      <w:tr w:rsidR="00000000">
        <w:trPr>
          <w:jc w:val="center"/>
        </w:trPr>
        <w:tc>
          <w:tcPr>
            <w:tcW w:w="4015" w:type="dxa"/>
            <w:gridSpan w:val="2"/>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收益分配基准日</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2023</w:t>
            </w:r>
            <w:r>
              <w:rPr>
                <w:rFonts w:ascii="宋体" w:eastAsia="宋体" w:hAnsi="宋体" w:cs="宋体" w:hint="eastAsia"/>
                <w:sz w:val="21"/>
                <w:szCs w:val="21"/>
              </w:rPr>
              <w:t>年</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11</w:t>
            </w:r>
            <w:r>
              <w:rPr>
                <w:rFonts w:ascii="宋体" w:eastAsia="宋体" w:hAnsi="宋体" w:cs="宋体" w:hint="eastAsia"/>
                <w:sz w:val="21"/>
                <w:szCs w:val="21"/>
              </w:rPr>
              <w:t>日</w:t>
            </w:r>
          </w:p>
        </w:tc>
      </w:tr>
      <w:tr w:rsidR="00000000">
        <w:trPr>
          <w:trHeight w:val="928"/>
          <w:jc w:val="center"/>
        </w:trPr>
        <w:tc>
          <w:tcPr>
            <w:tcW w:w="1468" w:type="dxa"/>
            <w:vMerge w:val="restart"/>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截止收益分配基准日的相关指标</w:t>
            </w:r>
          </w:p>
        </w:tc>
        <w:tc>
          <w:tcPr>
            <w:tcW w:w="2547"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基准日基金份额净值（单位：元）</w:t>
            </w:r>
          </w:p>
        </w:tc>
        <w:tc>
          <w:tcPr>
            <w:tcW w:w="4482" w:type="dxa"/>
            <w:vAlign w:val="center"/>
          </w:tcPr>
          <w:p w:rsidR="00000000" w:rsidRDefault="00172346">
            <w:pPr>
              <w:jc w:val="left"/>
              <w:rPr>
                <w:rFonts w:ascii="宋体" w:eastAsia="宋体" w:hAnsi="宋体" w:cs="宋体"/>
                <w:sz w:val="21"/>
                <w:szCs w:val="21"/>
              </w:rPr>
            </w:pPr>
            <w:r>
              <w:rPr>
                <w:rFonts w:ascii="宋体" w:eastAsia="宋体" w:hAnsi="宋体" w:cs="宋体" w:hint="eastAsia"/>
                <w:sz w:val="21"/>
                <w:szCs w:val="21"/>
              </w:rPr>
              <w:t>1.02</w:t>
            </w:r>
            <w:r>
              <w:rPr>
                <w:rFonts w:ascii="宋体" w:eastAsia="宋体" w:hAnsi="宋体" w:cs="宋体" w:hint="eastAsia"/>
                <w:sz w:val="21"/>
                <w:szCs w:val="21"/>
              </w:rPr>
              <w:t>35</w:t>
            </w:r>
          </w:p>
        </w:tc>
      </w:tr>
      <w:tr w:rsidR="00000000">
        <w:trPr>
          <w:trHeight w:val="840"/>
          <w:jc w:val="center"/>
        </w:trPr>
        <w:tc>
          <w:tcPr>
            <w:tcW w:w="1468" w:type="dxa"/>
            <w:vMerge/>
          </w:tcPr>
          <w:p w:rsidR="00000000" w:rsidRDefault="00172346">
            <w:pPr>
              <w:jc w:val="left"/>
              <w:rPr>
                <w:rFonts w:ascii="宋体" w:eastAsia="宋体" w:hAnsi="宋体" w:cs="宋体" w:hint="eastAsia"/>
                <w:sz w:val="21"/>
                <w:szCs w:val="21"/>
              </w:rPr>
            </w:pPr>
          </w:p>
        </w:tc>
        <w:tc>
          <w:tcPr>
            <w:tcW w:w="2547"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基准日基金可供分配利润（单位：元）</w:t>
            </w:r>
          </w:p>
        </w:tc>
        <w:tc>
          <w:tcPr>
            <w:tcW w:w="4482" w:type="dxa"/>
            <w:tcBorders>
              <w:bottom w:val="single" w:sz="4" w:space="0" w:color="auto"/>
            </w:tcBorders>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110,746,452.83</w:t>
            </w:r>
          </w:p>
        </w:tc>
      </w:tr>
      <w:tr w:rsidR="00000000">
        <w:trPr>
          <w:trHeight w:val="1265"/>
          <w:jc w:val="center"/>
        </w:trPr>
        <w:tc>
          <w:tcPr>
            <w:tcW w:w="1468" w:type="dxa"/>
            <w:vMerge/>
          </w:tcPr>
          <w:p w:rsidR="00000000" w:rsidRDefault="00172346">
            <w:pPr>
              <w:jc w:val="left"/>
              <w:rPr>
                <w:rFonts w:ascii="宋体" w:eastAsia="宋体" w:hAnsi="宋体" w:cs="宋体" w:hint="eastAsia"/>
                <w:sz w:val="21"/>
                <w:szCs w:val="21"/>
              </w:rPr>
            </w:pPr>
          </w:p>
        </w:tc>
        <w:tc>
          <w:tcPr>
            <w:tcW w:w="2547"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截止基准日按照基金合同约定的分红比例计算的应分配金额</w:t>
            </w:r>
            <w:r>
              <w:rPr>
                <w:rFonts w:ascii="宋体" w:eastAsia="宋体" w:hAnsi="宋体" w:cs="宋体" w:hint="eastAsia"/>
                <w:sz w:val="21"/>
                <w:szCs w:val="21"/>
              </w:rPr>
              <w:t>(</w:t>
            </w:r>
            <w:r>
              <w:rPr>
                <w:rFonts w:ascii="宋体" w:eastAsia="宋体" w:hAnsi="宋体" w:cs="宋体" w:hint="eastAsia"/>
                <w:sz w:val="21"/>
                <w:szCs w:val="21"/>
              </w:rPr>
              <w:t>单位：元</w:t>
            </w:r>
            <w:r>
              <w:rPr>
                <w:rFonts w:ascii="宋体" w:eastAsia="宋体" w:hAnsi="宋体" w:cs="宋体" w:hint="eastAsia"/>
                <w:sz w:val="21"/>
                <w:szCs w:val="21"/>
              </w:rPr>
              <w:t>)</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w:t>
            </w:r>
          </w:p>
        </w:tc>
      </w:tr>
      <w:tr w:rsidR="00000000">
        <w:trPr>
          <w:trHeight w:val="855"/>
          <w:jc w:val="center"/>
        </w:trPr>
        <w:tc>
          <w:tcPr>
            <w:tcW w:w="4015" w:type="dxa"/>
            <w:gridSpan w:val="2"/>
          </w:tcPr>
          <w:p w:rsidR="00000000" w:rsidRDefault="00172346">
            <w:pPr>
              <w:jc w:val="center"/>
              <w:rPr>
                <w:rFonts w:ascii="宋体" w:eastAsia="宋体" w:hAnsi="宋体" w:cs="宋体" w:hint="eastAsia"/>
                <w:sz w:val="21"/>
                <w:szCs w:val="21"/>
              </w:rPr>
            </w:pPr>
          </w:p>
          <w:p w:rsidR="00000000" w:rsidRDefault="00172346">
            <w:pPr>
              <w:jc w:val="center"/>
              <w:rPr>
                <w:rFonts w:ascii="宋体" w:eastAsia="宋体" w:hAnsi="宋体" w:cs="宋体" w:hint="eastAsia"/>
                <w:sz w:val="21"/>
                <w:szCs w:val="21"/>
              </w:rPr>
            </w:pPr>
            <w:r>
              <w:rPr>
                <w:rFonts w:ascii="宋体" w:eastAsia="宋体" w:hAnsi="宋体" w:cs="宋体" w:hint="eastAsia"/>
                <w:sz w:val="21"/>
                <w:szCs w:val="21"/>
              </w:rPr>
              <w:t>本次分红方案（单位：元</w:t>
            </w:r>
            <w:r>
              <w:rPr>
                <w:rFonts w:ascii="宋体" w:eastAsia="宋体" w:hAnsi="宋体" w:cs="宋体" w:hint="eastAsia"/>
                <w:sz w:val="21"/>
                <w:szCs w:val="21"/>
              </w:rPr>
              <w:t>/10</w:t>
            </w:r>
            <w:r>
              <w:rPr>
                <w:rFonts w:ascii="宋体" w:eastAsia="宋体" w:hAnsi="宋体" w:cs="宋体" w:hint="eastAsia"/>
                <w:sz w:val="21"/>
                <w:szCs w:val="21"/>
              </w:rPr>
              <w:t>份基金份额）</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0.</w:t>
            </w:r>
            <w:r>
              <w:rPr>
                <w:rFonts w:ascii="宋体" w:eastAsia="宋体" w:hAnsi="宋体" w:cs="宋体" w:hint="eastAsia"/>
                <w:sz w:val="21"/>
                <w:szCs w:val="21"/>
              </w:rPr>
              <w:t>2</w:t>
            </w:r>
            <w:r>
              <w:rPr>
                <w:rFonts w:ascii="宋体" w:eastAsia="宋体" w:hAnsi="宋体" w:cs="宋体" w:hint="eastAsia"/>
                <w:sz w:val="21"/>
                <w:szCs w:val="21"/>
              </w:rPr>
              <w:t>0</w:t>
            </w:r>
          </w:p>
        </w:tc>
      </w:tr>
      <w:tr w:rsidR="00000000">
        <w:trPr>
          <w:jc w:val="center"/>
        </w:trPr>
        <w:tc>
          <w:tcPr>
            <w:tcW w:w="4015" w:type="dxa"/>
            <w:gridSpan w:val="2"/>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有关年度分红次数的说明</w:t>
            </w:r>
          </w:p>
        </w:tc>
        <w:tc>
          <w:tcPr>
            <w:tcW w:w="4482" w:type="dxa"/>
            <w:vAlign w:val="center"/>
          </w:tcPr>
          <w:p w:rsidR="00000000" w:rsidRDefault="00172346">
            <w:pPr>
              <w:jc w:val="left"/>
              <w:rPr>
                <w:rFonts w:ascii="宋体" w:eastAsia="宋体" w:hAnsi="宋体" w:cs="宋体" w:hint="eastAsia"/>
                <w:sz w:val="21"/>
                <w:szCs w:val="21"/>
              </w:rPr>
            </w:pPr>
            <w:r>
              <w:rPr>
                <w:rFonts w:ascii="宋体" w:eastAsia="宋体" w:hAnsi="宋体" w:cs="宋体" w:hint="eastAsia"/>
                <w:sz w:val="21"/>
                <w:szCs w:val="21"/>
              </w:rPr>
              <w:t>本次分红为</w:t>
            </w:r>
            <w:r>
              <w:rPr>
                <w:rFonts w:ascii="宋体" w:eastAsia="宋体" w:hAnsi="宋体" w:cs="宋体" w:hint="eastAsia"/>
                <w:sz w:val="21"/>
                <w:szCs w:val="21"/>
              </w:rPr>
              <w:t>202</w:t>
            </w:r>
            <w:r>
              <w:rPr>
                <w:rFonts w:ascii="宋体" w:eastAsia="宋体" w:hAnsi="宋体" w:cs="宋体" w:hint="eastAsia"/>
                <w:sz w:val="21"/>
                <w:szCs w:val="21"/>
              </w:rPr>
              <w:t>3</w:t>
            </w:r>
            <w:r>
              <w:rPr>
                <w:rFonts w:ascii="宋体" w:eastAsia="宋体" w:hAnsi="宋体" w:cs="宋体" w:hint="eastAsia"/>
                <w:sz w:val="21"/>
                <w:szCs w:val="21"/>
              </w:rPr>
              <w:t>年度收益的第</w:t>
            </w:r>
            <w:r>
              <w:rPr>
                <w:rFonts w:ascii="宋体" w:eastAsia="宋体" w:hAnsi="宋体" w:cs="宋体" w:hint="eastAsia"/>
                <w:sz w:val="21"/>
                <w:szCs w:val="21"/>
              </w:rPr>
              <w:t>2</w:t>
            </w:r>
            <w:r>
              <w:rPr>
                <w:rFonts w:ascii="宋体" w:eastAsia="宋体" w:hAnsi="宋体" w:cs="宋体" w:hint="eastAsia"/>
                <w:sz w:val="21"/>
                <w:szCs w:val="21"/>
              </w:rPr>
              <w:t>次分红</w:t>
            </w:r>
          </w:p>
        </w:tc>
      </w:tr>
    </w:tbl>
    <w:p w:rsidR="00000000" w:rsidRDefault="00172346">
      <w:pPr>
        <w:pStyle w:val="2"/>
        <w:spacing w:line="560" w:lineRule="exact"/>
        <w:rPr>
          <w:rFonts w:ascii="宋体" w:eastAsia="宋体" w:hAnsi="宋体" w:cs="宋体" w:hint="eastAsia"/>
          <w:bCs w:val="0"/>
          <w:sz w:val="24"/>
          <w:szCs w:val="24"/>
        </w:rPr>
      </w:pPr>
      <w:bookmarkStart w:id="1" w:name="_Toc275961419"/>
      <w:r>
        <w:rPr>
          <w:rFonts w:ascii="宋体" w:eastAsia="宋体" w:hAnsi="宋体" w:cs="宋体" w:hint="eastAsia"/>
          <w:bCs w:val="0"/>
          <w:sz w:val="24"/>
          <w:szCs w:val="24"/>
        </w:rPr>
        <w:lastRenderedPageBreak/>
        <w:t xml:space="preserve">2 </w:t>
      </w:r>
      <w:r>
        <w:rPr>
          <w:rFonts w:ascii="宋体" w:eastAsia="宋体" w:hAnsi="宋体" w:cs="宋体" w:hint="eastAsia"/>
          <w:bCs w:val="0"/>
          <w:sz w:val="24"/>
          <w:szCs w:val="24"/>
        </w:rPr>
        <w:t>与分红相关的其他信息</w:t>
      </w:r>
      <w:bookmarkEnd w:id="1"/>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6"/>
        <w:gridCol w:w="5796"/>
      </w:tblGrid>
      <w:tr w:rsidR="00000000">
        <w:trPr>
          <w:trHeight w:val="535"/>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权益登记日</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2023</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w:t>
            </w:r>
          </w:p>
        </w:tc>
      </w:tr>
      <w:tr w:rsidR="00000000">
        <w:trPr>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除息日</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2023</w:t>
            </w:r>
            <w:r>
              <w:rPr>
                <w:rFonts w:ascii="宋体" w:eastAsia="宋体" w:hAnsi="宋体" w:cs="宋体" w:hint="eastAsia"/>
                <w:sz w:val="21"/>
                <w:szCs w:val="21"/>
              </w:rPr>
              <w:t>年</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w:t>
            </w:r>
          </w:p>
        </w:tc>
      </w:tr>
      <w:tr w:rsidR="00000000">
        <w:trPr>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现金红利发放日</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2023</w:t>
            </w:r>
            <w:r>
              <w:rPr>
                <w:rFonts w:ascii="宋体" w:eastAsia="宋体" w:hAnsi="宋体" w:cs="宋体" w:hint="eastAsia"/>
                <w:sz w:val="21"/>
                <w:szCs w:val="21"/>
              </w:rPr>
              <w:t>年</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w:t>
            </w:r>
          </w:p>
        </w:tc>
      </w:tr>
      <w:tr w:rsidR="00000000">
        <w:trPr>
          <w:jc w:val="center"/>
        </w:trPr>
        <w:tc>
          <w:tcPr>
            <w:tcW w:w="2686" w:type="dxa"/>
            <w:vAlign w:val="center"/>
          </w:tcPr>
          <w:p w:rsidR="00000000" w:rsidRDefault="00172346">
            <w:pPr>
              <w:spacing w:line="560" w:lineRule="exact"/>
              <w:rPr>
                <w:rFonts w:ascii="宋体" w:eastAsia="宋体" w:hAnsi="宋体" w:cs="宋体" w:hint="eastAsia"/>
                <w:sz w:val="21"/>
                <w:szCs w:val="21"/>
              </w:rPr>
            </w:pPr>
            <w:r>
              <w:rPr>
                <w:rFonts w:ascii="宋体" w:eastAsia="宋体" w:hAnsi="宋体" w:cs="宋体" w:hint="eastAsia"/>
                <w:sz w:val="21"/>
                <w:szCs w:val="21"/>
              </w:rPr>
              <w:t>分红对象</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权益登记日在东吴基金管理有限公司登记在册的本基金全体份额持有人。</w:t>
            </w:r>
          </w:p>
        </w:tc>
      </w:tr>
      <w:tr w:rsidR="00000000">
        <w:trPr>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红利再投资相关事项的说明</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w:t>
            </w:r>
          </w:p>
        </w:tc>
      </w:tr>
      <w:tr w:rsidR="00000000">
        <w:trPr>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税收相关事项的说明</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根据有关法规规定</w:t>
            </w:r>
            <w:r>
              <w:rPr>
                <w:rFonts w:ascii="宋体" w:eastAsia="宋体" w:hAnsi="宋体" w:cs="宋体" w:hint="eastAsia"/>
                <w:sz w:val="21"/>
                <w:szCs w:val="21"/>
              </w:rPr>
              <w:t>,</w:t>
            </w:r>
            <w:r>
              <w:rPr>
                <w:rFonts w:ascii="宋体" w:eastAsia="宋体" w:hAnsi="宋体" w:cs="宋体" w:hint="eastAsia"/>
                <w:sz w:val="21"/>
                <w:szCs w:val="21"/>
              </w:rPr>
              <w:t>本基金向投资人分配的基金收益</w:t>
            </w:r>
            <w:r>
              <w:rPr>
                <w:rFonts w:ascii="宋体" w:eastAsia="宋体" w:hAnsi="宋体" w:cs="宋体" w:hint="eastAsia"/>
                <w:sz w:val="21"/>
                <w:szCs w:val="21"/>
              </w:rPr>
              <w:t>,</w:t>
            </w:r>
            <w:r>
              <w:rPr>
                <w:rFonts w:ascii="宋体" w:eastAsia="宋体" w:hAnsi="宋体" w:cs="宋体" w:hint="eastAsia"/>
                <w:sz w:val="21"/>
                <w:szCs w:val="21"/>
              </w:rPr>
              <w:t>暂免征收所得税。</w:t>
            </w:r>
          </w:p>
        </w:tc>
      </w:tr>
      <w:tr w:rsidR="00000000">
        <w:trPr>
          <w:jc w:val="center"/>
        </w:trPr>
        <w:tc>
          <w:tcPr>
            <w:tcW w:w="268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费用相关事项的说明</w:t>
            </w:r>
          </w:p>
        </w:tc>
        <w:tc>
          <w:tcPr>
            <w:tcW w:w="5796" w:type="dxa"/>
            <w:vAlign w:val="center"/>
          </w:tcPr>
          <w:p w:rsidR="00000000" w:rsidRDefault="00172346">
            <w:pPr>
              <w:spacing w:line="360" w:lineRule="auto"/>
              <w:jc w:val="left"/>
              <w:rPr>
                <w:rFonts w:ascii="宋体" w:eastAsia="宋体" w:hAnsi="宋体" w:cs="宋体" w:hint="eastAsia"/>
                <w:sz w:val="21"/>
                <w:szCs w:val="21"/>
              </w:rPr>
            </w:pPr>
            <w:r>
              <w:rPr>
                <w:rFonts w:ascii="宋体" w:eastAsia="宋体" w:hAnsi="宋体" w:cs="宋体" w:hint="eastAsia"/>
                <w:sz w:val="21"/>
                <w:szCs w:val="21"/>
              </w:rPr>
              <w:t>本基金本次分红免收分红手续费</w:t>
            </w:r>
            <w:r>
              <w:rPr>
                <w:rFonts w:ascii="宋体" w:eastAsia="宋体" w:hAnsi="宋体" w:cs="宋体" w:hint="eastAsia"/>
                <w:sz w:val="21"/>
                <w:szCs w:val="21"/>
              </w:rPr>
              <w:t>。</w:t>
            </w:r>
          </w:p>
        </w:tc>
      </w:tr>
    </w:tbl>
    <w:p w:rsidR="00000000" w:rsidRDefault="00172346">
      <w:pPr>
        <w:pStyle w:val="2"/>
        <w:spacing w:line="276" w:lineRule="auto"/>
        <w:rPr>
          <w:rFonts w:ascii="宋体" w:eastAsia="宋体" w:hAnsi="宋体" w:cs="宋体" w:hint="eastAsia"/>
          <w:bCs w:val="0"/>
          <w:sz w:val="24"/>
          <w:szCs w:val="24"/>
        </w:rPr>
      </w:pPr>
      <w:bookmarkStart w:id="2" w:name="_Toc275961420"/>
      <w:r>
        <w:rPr>
          <w:rFonts w:ascii="宋体" w:eastAsia="宋体" w:hAnsi="宋体" w:cs="宋体" w:hint="eastAsia"/>
          <w:bCs w:val="0"/>
          <w:sz w:val="24"/>
          <w:szCs w:val="24"/>
        </w:rPr>
        <w:t xml:space="preserve">3 </w:t>
      </w:r>
      <w:r>
        <w:rPr>
          <w:rFonts w:ascii="宋体" w:eastAsia="宋体" w:hAnsi="宋体" w:cs="宋体" w:hint="eastAsia"/>
          <w:bCs w:val="0"/>
          <w:sz w:val="24"/>
          <w:szCs w:val="24"/>
        </w:rPr>
        <w:t>其他需要提示的事项</w:t>
      </w:r>
      <w:bookmarkEnd w:id="2"/>
    </w:p>
    <w:p w:rsidR="00000000" w:rsidRDefault="00172346">
      <w:pPr>
        <w:widowControl/>
        <w:numPr>
          <w:ilvl w:val="0"/>
          <w:numId w:val="1"/>
        </w:numPr>
        <w:spacing w:before="100" w:beforeAutospacing="1" w:after="100" w:afterAutospacing="1" w:line="360" w:lineRule="auto"/>
        <w:ind w:left="0"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本基金收益分配方式仅有现金分红</w:t>
      </w:r>
      <w:r>
        <w:rPr>
          <w:rFonts w:ascii="宋体" w:eastAsia="宋体" w:hAnsi="宋体" w:cs="宋体" w:hint="eastAsia"/>
          <w:kern w:val="0"/>
          <w:sz w:val="21"/>
          <w:szCs w:val="21"/>
        </w:rPr>
        <w:t>。</w:t>
      </w:r>
    </w:p>
    <w:p w:rsidR="00000000" w:rsidRDefault="00172346">
      <w:pPr>
        <w:widowControl/>
        <w:numPr>
          <w:ilvl w:val="0"/>
          <w:numId w:val="1"/>
        </w:numPr>
        <w:spacing w:before="100" w:beforeAutospacing="1" w:after="100" w:afterAutospacing="1" w:line="360" w:lineRule="auto"/>
        <w:ind w:left="0"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咨询办法：本基金份额持有人及希望了解本基金其他有关信息的投资者，可以登录本基金管理人网站</w:t>
      </w:r>
      <w:r>
        <w:rPr>
          <w:rFonts w:ascii="宋体" w:eastAsia="宋体" w:hAnsi="宋体" w:cs="宋体" w:hint="eastAsia"/>
          <w:kern w:val="0"/>
          <w:sz w:val="21"/>
          <w:szCs w:val="21"/>
        </w:rPr>
        <w:t>(www.scfund.</w:t>
      </w:r>
      <w:r>
        <w:rPr>
          <w:rFonts w:ascii="宋体" w:eastAsia="宋体" w:hAnsi="宋体" w:cs="宋体" w:hint="eastAsia"/>
          <w:kern w:val="0"/>
          <w:sz w:val="21"/>
          <w:szCs w:val="21"/>
        </w:rPr>
        <w:t>com.cn)</w:t>
      </w:r>
      <w:r>
        <w:rPr>
          <w:rFonts w:ascii="宋体" w:eastAsia="宋体" w:hAnsi="宋体" w:cs="宋体" w:hint="eastAsia"/>
          <w:kern w:val="0"/>
          <w:sz w:val="21"/>
          <w:szCs w:val="21"/>
        </w:rPr>
        <w:t>或拨打客户服务电话（</w:t>
      </w:r>
      <w:r>
        <w:rPr>
          <w:rFonts w:ascii="宋体" w:eastAsia="宋体" w:hAnsi="宋体" w:cs="宋体" w:hint="eastAsia"/>
          <w:kern w:val="0"/>
          <w:sz w:val="21"/>
          <w:szCs w:val="21"/>
        </w:rPr>
        <w:t>400-821-0588)</w:t>
      </w:r>
      <w:r>
        <w:rPr>
          <w:rFonts w:ascii="宋体" w:eastAsia="宋体" w:hAnsi="宋体" w:cs="宋体" w:hint="eastAsia"/>
          <w:kern w:val="0"/>
          <w:sz w:val="21"/>
          <w:szCs w:val="21"/>
        </w:rPr>
        <w:t>咨询相关事宜。</w:t>
      </w:r>
    </w:p>
    <w:p w:rsidR="00000000" w:rsidRDefault="00172346">
      <w:pPr>
        <w:widowControl/>
        <w:numPr>
          <w:ilvl w:val="0"/>
          <w:numId w:val="1"/>
        </w:numPr>
        <w:spacing w:before="100" w:beforeAutospacing="1" w:after="100" w:afterAutospacing="1" w:line="360" w:lineRule="auto"/>
        <w:ind w:left="0"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风险提示：本基金管理人承诺以诚实信用、勤勉尽责的原则管理和运用基金资产，但不保证基金一定盈利，也不保证最低收益。投资者投资于本基金时应认真阅读本基金的基金合同、招募说明书</w:t>
      </w:r>
      <w:r>
        <w:rPr>
          <w:rFonts w:ascii="宋体" w:eastAsia="宋体" w:hAnsi="宋体" w:cs="宋体" w:hint="eastAsia"/>
          <w:kern w:val="0"/>
          <w:sz w:val="21"/>
          <w:szCs w:val="21"/>
        </w:rPr>
        <w:t>等法律文件</w:t>
      </w:r>
      <w:r>
        <w:rPr>
          <w:rFonts w:ascii="宋体" w:eastAsia="宋体" w:hAnsi="宋体" w:cs="宋体" w:hint="eastAsia"/>
          <w:kern w:val="0"/>
          <w:sz w:val="21"/>
          <w:szCs w:val="21"/>
        </w:rPr>
        <w:t>。敬请投资者留意投资风险。</w:t>
      </w:r>
    </w:p>
    <w:p w:rsidR="00000000" w:rsidRDefault="00172346">
      <w:pPr>
        <w:widowControl/>
        <w:spacing w:before="100" w:beforeAutospacing="1" w:after="100" w:afterAutospacing="1"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 xml:space="preserve">  </w:t>
      </w:r>
    </w:p>
    <w:p w:rsidR="00000000" w:rsidRDefault="00172346">
      <w:pPr>
        <w:widowControl/>
        <w:spacing w:before="100" w:beforeAutospacing="1" w:after="100" w:afterAutospacing="1" w:line="360" w:lineRule="auto"/>
        <w:ind w:firstLineChars="2700" w:firstLine="5670"/>
        <w:rPr>
          <w:rFonts w:ascii="宋体" w:eastAsia="宋体" w:hAnsi="宋体" w:cs="宋体" w:hint="eastAsia"/>
          <w:kern w:val="0"/>
          <w:sz w:val="21"/>
          <w:szCs w:val="21"/>
        </w:rPr>
      </w:pPr>
      <w:r>
        <w:rPr>
          <w:rFonts w:ascii="宋体" w:eastAsia="宋体" w:hAnsi="宋体" w:cs="宋体" w:hint="eastAsia"/>
          <w:kern w:val="0"/>
          <w:sz w:val="21"/>
          <w:szCs w:val="21"/>
        </w:rPr>
        <w:t>东吴基金管理有限公司</w:t>
      </w:r>
    </w:p>
    <w:p w:rsidR="00000000" w:rsidRDefault="00172346">
      <w:pPr>
        <w:widowControl/>
        <w:spacing w:before="100" w:beforeAutospacing="1" w:after="100" w:afterAutospacing="1" w:line="360" w:lineRule="auto"/>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ab/>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2023</w:t>
      </w:r>
      <w:r>
        <w:rPr>
          <w:rFonts w:ascii="宋体" w:eastAsia="宋体" w:hAnsi="宋体" w:cs="宋体" w:hint="eastAsia"/>
          <w:kern w:val="0"/>
          <w:sz w:val="21"/>
          <w:szCs w:val="21"/>
        </w:rPr>
        <w:t>年</w:t>
      </w:r>
      <w:r>
        <w:rPr>
          <w:rFonts w:ascii="宋体" w:eastAsia="宋体" w:hAnsi="宋体" w:cs="宋体" w:hint="eastAsia"/>
          <w:kern w:val="0"/>
          <w:sz w:val="21"/>
          <w:szCs w:val="21"/>
        </w:rPr>
        <w:t>12</w:t>
      </w:r>
      <w:r>
        <w:rPr>
          <w:rFonts w:ascii="宋体" w:eastAsia="宋体" w:hAnsi="宋体" w:cs="宋体" w:hint="eastAsia"/>
          <w:kern w:val="0"/>
          <w:sz w:val="21"/>
          <w:szCs w:val="21"/>
        </w:rPr>
        <w:t>月</w:t>
      </w:r>
      <w:r>
        <w:rPr>
          <w:rFonts w:ascii="宋体" w:eastAsia="宋体" w:hAnsi="宋体" w:cs="宋体" w:hint="eastAsia"/>
          <w:kern w:val="0"/>
          <w:sz w:val="21"/>
          <w:szCs w:val="21"/>
        </w:rPr>
        <w:t>15</w:t>
      </w:r>
      <w:r>
        <w:rPr>
          <w:rFonts w:ascii="宋体" w:eastAsia="宋体" w:hAnsi="宋体" w:cs="宋体" w:hint="eastAsia"/>
          <w:kern w:val="0"/>
          <w:sz w:val="21"/>
          <w:szCs w:val="21"/>
        </w:rPr>
        <w:t>日</w:t>
      </w:r>
    </w:p>
    <w:sectPr w:rsidR="00000000">
      <w:pgSz w:w="11906" w:h="16838"/>
      <w:pgMar w:top="1440" w:right="2186"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A033"/>
    <w:multiLevelType w:val="singleLevel"/>
    <w:tmpl w:val="2E42A03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s>
  <w:rsids>
    <w:rsidRoot w:val="00172A27"/>
    <w:rsid w:val="00024B96"/>
    <w:rsid w:val="000315AD"/>
    <w:rsid w:val="000662F5"/>
    <w:rsid w:val="000B2C77"/>
    <w:rsid w:val="000B3935"/>
    <w:rsid w:val="000C3A48"/>
    <w:rsid w:val="000D36DB"/>
    <w:rsid w:val="000E039E"/>
    <w:rsid w:val="00120F01"/>
    <w:rsid w:val="00123261"/>
    <w:rsid w:val="001265A4"/>
    <w:rsid w:val="00126D57"/>
    <w:rsid w:val="00134522"/>
    <w:rsid w:val="001477B8"/>
    <w:rsid w:val="00147CC2"/>
    <w:rsid w:val="00152FCF"/>
    <w:rsid w:val="00153B8A"/>
    <w:rsid w:val="00161413"/>
    <w:rsid w:val="0017212C"/>
    <w:rsid w:val="00172346"/>
    <w:rsid w:val="0017768D"/>
    <w:rsid w:val="00183A91"/>
    <w:rsid w:val="001A3B1B"/>
    <w:rsid w:val="001B4ED0"/>
    <w:rsid w:val="001C04CA"/>
    <w:rsid w:val="001D3F60"/>
    <w:rsid w:val="001D4B5E"/>
    <w:rsid w:val="001D4CDA"/>
    <w:rsid w:val="00207B8E"/>
    <w:rsid w:val="0023011C"/>
    <w:rsid w:val="00254D31"/>
    <w:rsid w:val="00260A27"/>
    <w:rsid w:val="00270D9E"/>
    <w:rsid w:val="002A3EB5"/>
    <w:rsid w:val="002B2C1A"/>
    <w:rsid w:val="002B6F30"/>
    <w:rsid w:val="002D7E68"/>
    <w:rsid w:val="002E2BD4"/>
    <w:rsid w:val="002E4E5A"/>
    <w:rsid w:val="002E536F"/>
    <w:rsid w:val="002E58E0"/>
    <w:rsid w:val="00324D1B"/>
    <w:rsid w:val="00327AB2"/>
    <w:rsid w:val="0033453E"/>
    <w:rsid w:val="003400F8"/>
    <w:rsid w:val="00352CE6"/>
    <w:rsid w:val="00362FEE"/>
    <w:rsid w:val="00371C20"/>
    <w:rsid w:val="00391194"/>
    <w:rsid w:val="003B0D72"/>
    <w:rsid w:val="003B29DE"/>
    <w:rsid w:val="003B448A"/>
    <w:rsid w:val="003E544A"/>
    <w:rsid w:val="003F09DC"/>
    <w:rsid w:val="003F533C"/>
    <w:rsid w:val="003F5604"/>
    <w:rsid w:val="00402267"/>
    <w:rsid w:val="004051A0"/>
    <w:rsid w:val="00412D83"/>
    <w:rsid w:val="004504E9"/>
    <w:rsid w:val="004509DE"/>
    <w:rsid w:val="00470688"/>
    <w:rsid w:val="00476D8E"/>
    <w:rsid w:val="0048515E"/>
    <w:rsid w:val="00492DA0"/>
    <w:rsid w:val="004956ED"/>
    <w:rsid w:val="004D6712"/>
    <w:rsid w:val="004E1EE7"/>
    <w:rsid w:val="004E3440"/>
    <w:rsid w:val="004F4204"/>
    <w:rsid w:val="005148C5"/>
    <w:rsid w:val="00515FEC"/>
    <w:rsid w:val="00525B81"/>
    <w:rsid w:val="00552C3D"/>
    <w:rsid w:val="0055306A"/>
    <w:rsid w:val="00556F9C"/>
    <w:rsid w:val="005600FD"/>
    <w:rsid w:val="005635B7"/>
    <w:rsid w:val="00567F7E"/>
    <w:rsid w:val="00571FA4"/>
    <w:rsid w:val="005837C2"/>
    <w:rsid w:val="005D27AC"/>
    <w:rsid w:val="006075B8"/>
    <w:rsid w:val="00665D44"/>
    <w:rsid w:val="0067142B"/>
    <w:rsid w:val="006A5401"/>
    <w:rsid w:val="006B4EBC"/>
    <w:rsid w:val="006C63C1"/>
    <w:rsid w:val="00717064"/>
    <w:rsid w:val="007271A1"/>
    <w:rsid w:val="00762B85"/>
    <w:rsid w:val="00786D0B"/>
    <w:rsid w:val="00793646"/>
    <w:rsid w:val="007A70A5"/>
    <w:rsid w:val="007D2419"/>
    <w:rsid w:val="007F0DAD"/>
    <w:rsid w:val="007F149C"/>
    <w:rsid w:val="007F4FAB"/>
    <w:rsid w:val="007F5C4F"/>
    <w:rsid w:val="00805692"/>
    <w:rsid w:val="00807440"/>
    <w:rsid w:val="0082451D"/>
    <w:rsid w:val="00837976"/>
    <w:rsid w:val="008613FF"/>
    <w:rsid w:val="0087511F"/>
    <w:rsid w:val="008B19C5"/>
    <w:rsid w:val="008B3728"/>
    <w:rsid w:val="008B4151"/>
    <w:rsid w:val="008B6A93"/>
    <w:rsid w:val="008C501D"/>
    <w:rsid w:val="008E3C1E"/>
    <w:rsid w:val="008F0934"/>
    <w:rsid w:val="008F0BDB"/>
    <w:rsid w:val="008F5CAC"/>
    <w:rsid w:val="00904DE6"/>
    <w:rsid w:val="00910493"/>
    <w:rsid w:val="0091559B"/>
    <w:rsid w:val="00927847"/>
    <w:rsid w:val="00933C27"/>
    <w:rsid w:val="009371DE"/>
    <w:rsid w:val="00962CFC"/>
    <w:rsid w:val="009A3C8F"/>
    <w:rsid w:val="009A6CBC"/>
    <w:rsid w:val="009B4763"/>
    <w:rsid w:val="009C23FF"/>
    <w:rsid w:val="009C5FCC"/>
    <w:rsid w:val="009C6BB7"/>
    <w:rsid w:val="009D014C"/>
    <w:rsid w:val="009E13C4"/>
    <w:rsid w:val="00A003B1"/>
    <w:rsid w:val="00A06C73"/>
    <w:rsid w:val="00A107AC"/>
    <w:rsid w:val="00A23BFB"/>
    <w:rsid w:val="00A26800"/>
    <w:rsid w:val="00A27D62"/>
    <w:rsid w:val="00A53A4A"/>
    <w:rsid w:val="00A6164F"/>
    <w:rsid w:val="00AA4E10"/>
    <w:rsid w:val="00AB0281"/>
    <w:rsid w:val="00AB71A5"/>
    <w:rsid w:val="00AB78FA"/>
    <w:rsid w:val="00AC2B4A"/>
    <w:rsid w:val="00B22894"/>
    <w:rsid w:val="00B31DC0"/>
    <w:rsid w:val="00B407C4"/>
    <w:rsid w:val="00B6270E"/>
    <w:rsid w:val="00BC36FD"/>
    <w:rsid w:val="00BC471C"/>
    <w:rsid w:val="00C04B1D"/>
    <w:rsid w:val="00C122C7"/>
    <w:rsid w:val="00C133EF"/>
    <w:rsid w:val="00C40F18"/>
    <w:rsid w:val="00C64261"/>
    <w:rsid w:val="00C66D3B"/>
    <w:rsid w:val="00C7002C"/>
    <w:rsid w:val="00CD03AE"/>
    <w:rsid w:val="00CD04F1"/>
    <w:rsid w:val="00CD0F8F"/>
    <w:rsid w:val="00CE2ABC"/>
    <w:rsid w:val="00CF0E22"/>
    <w:rsid w:val="00D000AA"/>
    <w:rsid w:val="00D02A2A"/>
    <w:rsid w:val="00D05176"/>
    <w:rsid w:val="00D1154D"/>
    <w:rsid w:val="00D233BB"/>
    <w:rsid w:val="00D24478"/>
    <w:rsid w:val="00D35467"/>
    <w:rsid w:val="00D4379B"/>
    <w:rsid w:val="00D44089"/>
    <w:rsid w:val="00D509D5"/>
    <w:rsid w:val="00D60A6B"/>
    <w:rsid w:val="00D6335D"/>
    <w:rsid w:val="00D63A76"/>
    <w:rsid w:val="00D83BEC"/>
    <w:rsid w:val="00DC011D"/>
    <w:rsid w:val="00DE2094"/>
    <w:rsid w:val="00DE6052"/>
    <w:rsid w:val="00DF0069"/>
    <w:rsid w:val="00DF6038"/>
    <w:rsid w:val="00E0730A"/>
    <w:rsid w:val="00E12C5F"/>
    <w:rsid w:val="00E31A14"/>
    <w:rsid w:val="00E70077"/>
    <w:rsid w:val="00EA0592"/>
    <w:rsid w:val="00EA1B66"/>
    <w:rsid w:val="00EA37FA"/>
    <w:rsid w:val="00EE52E3"/>
    <w:rsid w:val="00F01260"/>
    <w:rsid w:val="00F040DE"/>
    <w:rsid w:val="00F07C9B"/>
    <w:rsid w:val="00F11CAE"/>
    <w:rsid w:val="00F157E2"/>
    <w:rsid w:val="00F34FB5"/>
    <w:rsid w:val="00F63966"/>
    <w:rsid w:val="00F80A06"/>
    <w:rsid w:val="00F9433A"/>
    <w:rsid w:val="00FA0137"/>
    <w:rsid w:val="00FD5874"/>
    <w:rsid w:val="00FE21FE"/>
    <w:rsid w:val="00FF70DC"/>
    <w:rsid w:val="01253618"/>
    <w:rsid w:val="014F1409"/>
    <w:rsid w:val="02982C5B"/>
    <w:rsid w:val="02FF318E"/>
    <w:rsid w:val="033D60A4"/>
    <w:rsid w:val="036E06F6"/>
    <w:rsid w:val="0399735C"/>
    <w:rsid w:val="03AA286B"/>
    <w:rsid w:val="03D8635F"/>
    <w:rsid w:val="048821DE"/>
    <w:rsid w:val="04D74C24"/>
    <w:rsid w:val="05BD35D0"/>
    <w:rsid w:val="06EA3BF8"/>
    <w:rsid w:val="07D45290"/>
    <w:rsid w:val="081A1D81"/>
    <w:rsid w:val="0A493B50"/>
    <w:rsid w:val="0A6D6B71"/>
    <w:rsid w:val="0CBF6B8F"/>
    <w:rsid w:val="0CF906EA"/>
    <w:rsid w:val="0D536553"/>
    <w:rsid w:val="0D705914"/>
    <w:rsid w:val="0EB96014"/>
    <w:rsid w:val="0F38795E"/>
    <w:rsid w:val="0FAD1646"/>
    <w:rsid w:val="0FE35071"/>
    <w:rsid w:val="0FEE27C0"/>
    <w:rsid w:val="0FF31A39"/>
    <w:rsid w:val="106D20B0"/>
    <w:rsid w:val="10E34292"/>
    <w:rsid w:val="11124F40"/>
    <w:rsid w:val="13CF40C7"/>
    <w:rsid w:val="13E32782"/>
    <w:rsid w:val="140825E2"/>
    <w:rsid w:val="14F6718D"/>
    <w:rsid w:val="16892E0D"/>
    <w:rsid w:val="1699208E"/>
    <w:rsid w:val="174C5314"/>
    <w:rsid w:val="179F0A00"/>
    <w:rsid w:val="185E6889"/>
    <w:rsid w:val="18D77A7B"/>
    <w:rsid w:val="19854972"/>
    <w:rsid w:val="1A0367CD"/>
    <w:rsid w:val="1A920A2B"/>
    <w:rsid w:val="1B167EB7"/>
    <w:rsid w:val="1B300B4C"/>
    <w:rsid w:val="1F027E72"/>
    <w:rsid w:val="1FCB330F"/>
    <w:rsid w:val="22036D7B"/>
    <w:rsid w:val="22224F34"/>
    <w:rsid w:val="22D205C3"/>
    <w:rsid w:val="23974174"/>
    <w:rsid w:val="246A67EE"/>
    <w:rsid w:val="25C35D0C"/>
    <w:rsid w:val="270255CD"/>
    <w:rsid w:val="28C657AC"/>
    <w:rsid w:val="28D35B48"/>
    <w:rsid w:val="28DA624B"/>
    <w:rsid w:val="294129C0"/>
    <w:rsid w:val="2C3D39D8"/>
    <w:rsid w:val="2D3376A5"/>
    <w:rsid w:val="2D924B9F"/>
    <w:rsid w:val="2E9266F0"/>
    <w:rsid w:val="2FAC137C"/>
    <w:rsid w:val="2FE47A20"/>
    <w:rsid w:val="30BA6B88"/>
    <w:rsid w:val="32543AEF"/>
    <w:rsid w:val="327774C2"/>
    <w:rsid w:val="32A54F3A"/>
    <w:rsid w:val="33806989"/>
    <w:rsid w:val="345D517B"/>
    <w:rsid w:val="374024AE"/>
    <w:rsid w:val="37C82138"/>
    <w:rsid w:val="37D46424"/>
    <w:rsid w:val="38623ECA"/>
    <w:rsid w:val="387355A7"/>
    <w:rsid w:val="393F66F0"/>
    <w:rsid w:val="39D20986"/>
    <w:rsid w:val="3A6C78C5"/>
    <w:rsid w:val="3A9F053B"/>
    <w:rsid w:val="3D631883"/>
    <w:rsid w:val="3E18733F"/>
    <w:rsid w:val="3E6F3D0B"/>
    <w:rsid w:val="404C260E"/>
    <w:rsid w:val="41BA2F5F"/>
    <w:rsid w:val="43017F33"/>
    <w:rsid w:val="43E7354A"/>
    <w:rsid w:val="44B26AF2"/>
    <w:rsid w:val="45F771D2"/>
    <w:rsid w:val="47240EDC"/>
    <w:rsid w:val="47F21D9E"/>
    <w:rsid w:val="48390610"/>
    <w:rsid w:val="48475594"/>
    <w:rsid w:val="4B177C58"/>
    <w:rsid w:val="4C4E6014"/>
    <w:rsid w:val="4D52432F"/>
    <w:rsid w:val="4F7C7719"/>
    <w:rsid w:val="4FAA1A3C"/>
    <w:rsid w:val="500046A3"/>
    <w:rsid w:val="507B5E3F"/>
    <w:rsid w:val="520E51C5"/>
    <w:rsid w:val="537A2E45"/>
    <w:rsid w:val="538F698E"/>
    <w:rsid w:val="54FE6351"/>
    <w:rsid w:val="550F4390"/>
    <w:rsid w:val="551940CB"/>
    <w:rsid w:val="55700B82"/>
    <w:rsid w:val="566C5470"/>
    <w:rsid w:val="57960962"/>
    <w:rsid w:val="57A37873"/>
    <w:rsid w:val="57C55117"/>
    <w:rsid w:val="57DA7304"/>
    <w:rsid w:val="588940D6"/>
    <w:rsid w:val="598873C0"/>
    <w:rsid w:val="59A62F59"/>
    <w:rsid w:val="59D1158B"/>
    <w:rsid w:val="5B793A89"/>
    <w:rsid w:val="5C442121"/>
    <w:rsid w:val="5D2A2258"/>
    <w:rsid w:val="5F0F5199"/>
    <w:rsid w:val="5F3E7401"/>
    <w:rsid w:val="5F4119E6"/>
    <w:rsid w:val="5FC346A4"/>
    <w:rsid w:val="5FE714F6"/>
    <w:rsid w:val="603E4D1E"/>
    <w:rsid w:val="621242BB"/>
    <w:rsid w:val="62977579"/>
    <w:rsid w:val="637800F7"/>
    <w:rsid w:val="6390098C"/>
    <w:rsid w:val="639745EE"/>
    <w:rsid w:val="64045A8A"/>
    <w:rsid w:val="64092BBF"/>
    <w:rsid w:val="647312D1"/>
    <w:rsid w:val="650D4F18"/>
    <w:rsid w:val="65407B5B"/>
    <w:rsid w:val="655E5C0C"/>
    <w:rsid w:val="67686DFE"/>
    <w:rsid w:val="677C645A"/>
    <w:rsid w:val="67C76181"/>
    <w:rsid w:val="67E043D4"/>
    <w:rsid w:val="685A03DF"/>
    <w:rsid w:val="68790EFE"/>
    <w:rsid w:val="6A3231CD"/>
    <w:rsid w:val="6A5D359B"/>
    <w:rsid w:val="6C7A6008"/>
    <w:rsid w:val="6CAE2A65"/>
    <w:rsid w:val="6E7E70BE"/>
    <w:rsid w:val="6ECE5D47"/>
    <w:rsid w:val="72FA0F81"/>
    <w:rsid w:val="7588548C"/>
    <w:rsid w:val="76603476"/>
    <w:rsid w:val="770518CE"/>
    <w:rsid w:val="774277EA"/>
    <w:rsid w:val="776A17F9"/>
    <w:rsid w:val="77C465B9"/>
    <w:rsid w:val="77E42B49"/>
    <w:rsid w:val="77FF07E2"/>
    <w:rsid w:val="79166812"/>
    <w:rsid w:val="79B625B9"/>
    <w:rsid w:val="7ADD7D46"/>
    <w:rsid w:val="7AF62D5C"/>
    <w:rsid w:val="7BA24AC5"/>
    <w:rsid w:val="7C397184"/>
    <w:rsid w:val="7CDF217C"/>
    <w:rsid w:val="7CF961D4"/>
    <w:rsid w:val="7DA13B89"/>
    <w:rsid w:val="7E03375F"/>
    <w:rsid w:val="7F3A7A87"/>
    <w:rsid w:val="7FC836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bCs/>
      <w:kern w:val="2"/>
      <w:sz w:val="32"/>
      <w:szCs w:val="32"/>
      <w:lang w:val="en-US" w:eastAsia="zh-CN" w:bidi="ar-SA"/>
    </w:rPr>
  </w:style>
  <w:style w:type="paragraph" w:styleId="a3">
    <w:name w:val="Document Map"/>
    <w:basedOn w:val="a"/>
    <w:link w:val="Char"/>
    <w:rPr>
      <w:rFonts w:ascii="宋体" w:eastAsia="宋体"/>
      <w:sz w:val="18"/>
      <w:szCs w:val="18"/>
    </w:rPr>
  </w:style>
  <w:style w:type="character" w:customStyle="1" w:styleId="Char">
    <w:name w:val="文档结构图 Char"/>
    <w:basedOn w:val="a0"/>
    <w:link w:val="a3"/>
    <w:rPr>
      <w:rFonts w:ascii="宋体"/>
      <w:kern w:val="2"/>
      <w:sz w:val="18"/>
      <w:szCs w:val="18"/>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pPr>
      <w:snapToGrid w:val="0"/>
      <w:jc w:val="left"/>
    </w:pPr>
    <w:rPr>
      <w:rFonts w:eastAsia="宋体"/>
      <w:sz w:val="18"/>
    </w:rPr>
  </w:style>
  <w:style w:type="paragraph" w:styleId="a8">
    <w:name w:val="Normal (Web)"/>
    <w:basedOn w:val="a"/>
    <w:pPr>
      <w:widowControl/>
      <w:jc w:val="left"/>
    </w:pPr>
    <w:rPr>
      <w:rFonts w:ascii="宋体" w:eastAsia="宋体" w:hAnsi="宋体" w:cs="宋体"/>
      <w:kern w:val="0"/>
      <w:sz w:val="18"/>
      <w:szCs w:val="18"/>
    </w:rPr>
  </w:style>
  <w:style w:type="character" w:styleId="a9">
    <w:name w:val="FollowedHyperlink"/>
    <w:rPr>
      <w:color w:val="666666"/>
      <w:u w:val="none"/>
    </w:rPr>
  </w:style>
  <w:style w:type="character" w:styleId="aa">
    <w:name w:val="Hyperlink"/>
    <w:rPr>
      <w:color w:val="666666"/>
      <w:u w:val="none"/>
    </w:rPr>
  </w:style>
  <w:style w:type="character" w:styleId="ab">
    <w:name w:val="footnote reference"/>
    <w:rPr>
      <w:vertAlign w:val="superscript"/>
    </w:rPr>
  </w:style>
  <w:style w:type="character" w:customStyle="1" w:styleId="hover58">
    <w:name w:val="hover58"/>
    <w:rPr>
      <w:color w:val="FFFFFF"/>
      <w:shd w:val="clear" w:color="auto" w:fill="C9A363"/>
    </w:rPr>
  </w:style>
  <w:style w:type="character" w:customStyle="1" w:styleId="bg3">
    <w:name w:val="bg3"/>
    <w:basedOn w:val="a0"/>
  </w:style>
  <w:style w:type="character" w:customStyle="1" w:styleId="bg1">
    <w:name w:val="bg1"/>
    <w:basedOn w:val="a0"/>
  </w:style>
  <w:style w:type="character" w:customStyle="1" w:styleId="az">
    <w:name w:val="az"/>
    <w:rPr>
      <w:bdr w:val="single" w:sz="6" w:space="0" w:color="DFDFDF"/>
    </w:rPr>
  </w:style>
  <w:style w:type="character" w:customStyle="1" w:styleId="hot46">
    <w:name w:val="hot46"/>
    <w:basedOn w:val="a0"/>
  </w:style>
  <w:style w:type="character" w:customStyle="1" w:styleId="bg11">
    <w:name w:val="bg11"/>
    <w:basedOn w:val="a0"/>
  </w:style>
  <w:style w:type="character" w:customStyle="1" w:styleId="hover47">
    <w:name w:val="hover47"/>
    <w:rPr>
      <w:color w:val="FFFFFF"/>
      <w:shd w:val="clear" w:color="auto" w:fill="EDC211"/>
    </w:rPr>
  </w:style>
  <w:style w:type="character" w:customStyle="1" w:styleId="bg41">
    <w:name w:val="bg41"/>
    <w:basedOn w:val="a0"/>
  </w:style>
  <w:style w:type="character" w:customStyle="1" w:styleId="over2">
    <w:name w:val="over2"/>
    <w:basedOn w:val="a0"/>
  </w:style>
  <w:style w:type="character" w:customStyle="1" w:styleId="lsx">
    <w:name w:val="lsx"/>
    <w:rPr>
      <w:color w:val="00FF00"/>
    </w:rPr>
  </w:style>
  <w:style w:type="character" w:customStyle="1" w:styleId="bg21">
    <w:name w:val="bg21"/>
    <w:basedOn w:val="a0"/>
  </w:style>
  <w:style w:type="character" w:customStyle="1" w:styleId="hover59">
    <w:name w:val="hover59"/>
    <w:rPr>
      <w:color w:val="666666"/>
    </w:rPr>
  </w:style>
  <w:style w:type="character" w:customStyle="1" w:styleId="ios">
    <w:name w:val="ios"/>
    <w:rPr>
      <w:bdr w:val="single" w:sz="6" w:space="0" w:color="DFDFDF"/>
    </w:rPr>
  </w:style>
  <w:style w:type="character" w:customStyle="1" w:styleId="bg2">
    <w:name w:val="bg2"/>
    <w:basedOn w:val="a0"/>
  </w:style>
  <w:style w:type="character" w:customStyle="1" w:styleId="hover56">
    <w:name w:val="hover56"/>
    <w:rPr>
      <w:color w:val="666666"/>
    </w:rPr>
  </w:style>
  <w:style w:type="character" w:customStyle="1" w:styleId="ls">
    <w:name w:val="ls"/>
    <w:rPr>
      <w:color w:val="666666"/>
    </w:rPr>
  </w:style>
  <w:style w:type="character" w:customStyle="1" w:styleId="hover60">
    <w:name w:val="hover60"/>
    <w:rPr>
      <w:color w:val="FFFFFF"/>
      <w:shd w:val="clear" w:color="auto" w:fill="ED686E"/>
    </w:rPr>
  </w:style>
  <w:style w:type="character" w:customStyle="1" w:styleId="txtcontent11">
    <w:name w:val="txtcontent11"/>
    <w:rPr>
      <w:rFonts w:ascii="ˎ̥" w:hAnsi="ˎ̥" w:hint="default"/>
      <w:b w:val="0"/>
      <w:bCs w:val="0"/>
      <w:color w:val="000000"/>
      <w:sz w:val="21"/>
      <w:szCs w:val="21"/>
    </w:rPr>
  </w:style>
  <w:style w:type="character" w:customStyle="1" w:styleId="over">
    <w:name w:val="over"/>
    <w:basedOn w:val="a0"/>
  </w:style>
  <w:style w:type="character" w:customStyle="1" w:styleId="hover54">
    <w:name w:val="hover54"/>
    <w:basedOn w:val="a0"/>
    <w:rPr>
      <w:color w:val="FFFFFF"/>
      <w:shd w:val="clear" w:color="auto" w:fill="C9A363"/>
    </w:rPr>
  </w:style>
  <w:style w:type="character" w:customStyle="1" w:styleId="bg31">
    <w:name w:val="bg31"/>
    <w:basedOn w:val="a0"/>
  </w:style>
  <w:style w:type="character" w:customStyle="1" w:styleId="hover55">
    <w:name w:val="hover55"/>
    <w:rPr>
      <w:color w:val="FFFFFF"/>
      <w:shd w:val="clear" w:color="auto" w:fill="C9A363"/>
    </w:rPr>
  </w:style>
  <w:style w:type="character" w:customStyle="1" w:styleId="bg5">
    <w:name w:val="bg5"/>
    <w:basedOn w:val="a0"/>
  </w:style>
  <w:style w:type="character" w:customStyle="1" w:styleId="da">
    <w:name w:val="da"/>
    <w:basedOn w:val="a0"/>
  </w:style>
  <w:style w:type="character" w:customStyle="1" w:styleId="hover50">
    <w:name w:val="hover50"/>
    <w:rPr>
      <w:color w:val="FFFFFF"/>
      <w:shd w:val="clear" w:color="auto" w:fill="ED686E"/>
    </w:rPr>
  </w:style>
  <w:style w:type="character" w:customStyle="1" w:styleId="hot49">
    <w:name w:val="hot49"/>
    <w:basedOn w:val="a0"/>
  </w:style>
  <w:style w:type="character" w:customStyle="1" w:styleId="hover48">
    <w:name w:val="hover48"/>
    <w:rPr>
      <w:color w:val="FFFFFF"/>
      <w:shd w:val="clear" w:color="auto" w:fill="C9A363"/>
    </w:rPr>
  </w:style>
  <w:style w:type="character" w:customStyle="1" w:styleId="hover57">
    <w:name w:val="hover57"/>
    <w:rPr>
      <w:color w:val="FFFFFF"/>
      <w:shd w:val="clear" w:color="auto" w:fill="EDC211"/>
    </w:rPr>
  </w:style>
  <w:style w:type="character" w:customStyle="1" w:styleId="bg4">
    <w:name w:val="bg4"/>
    <w:basedOn w:val="a0"/>
  </w:style>
  <w:style w:type="character" w:customStyle="1" w:styleId="hover49">
    <w:name w:val="hover49"/>
    <w:rPr>
      <w:color w:val="666666"/>
    </w:rPr>
  </w:style>
  <w:style w:type="character" w:customStyle="1" w:styleId="over1">
    <w:name w:val="over1"/>
    <w:basedOn w:val="a0"/>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eastAsia="宋体"/>
      <w:kern w:val="0"/>
      <w:sz w:val="34"/>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PresentationFormat/>
  <Lines>6</Lines>
  <Paragraphs>1</Paragraphs>
  <Slides>0</Slides>
  <Notes>0</Notes>
  <HiddenSlides>0</HiddenSlides>
  <MMClips>0</MMClips>
  <ScaleCrop>false</ScaleCrop>
  <Manager/>
  <Company>dw</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2023年度东吴瑞盈63个月定期开放债券型证券投资基金分红公告</dc:title>
  <dc:subject/>
  <dc:creator>dw</dc:creator>
  <cp:keywords/>
  <dc:description/>
  <cp:lastModifiedBy>ZHONGM</cp:lastModifiedBy>
  <cp:revision>2</cp:revision>
  <cp:lastPrinted>2015-01-08T00:28:00Z</cp:lastPrinted>
  <dcterms:created xsi:type="dcterms:W3CDTF">2023-12-14T16:02:00Z</dcterms:created>
  <dcterms:modified xsi:type="dcterms:W3CDTF">2023-12-14T16:02:00Z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0F26017CC01149548206080BB6F6E172</vt:lpwstr>
  </property>
</Properties>
</file>