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812228" w:rsidRDefault="00893436" w:rsidP="00812228">
      <w:pPr>
        <w:widowControl/>
        <w:jc w:val="center"/>
        <w:rPr>
          <w:rFonts w:asciiTheme="minorEastAsia" w:eastAsiaTheme="minorEastAsia" w:hAnsiTheme="minorEastAsia" w:cs="宋体"/>
          <w:b/>
          <w:kern w:val="0"/>
          <w:sz w:val="30"/>
          <w:szCs w:val="30"/>
        </w:rPr>
      </w:pPr>
      <w:r w:rsidRPr="00812228">
        <w:rPr>
          <w:rFonts w:asciiTheme="minorEastAsia" w:eastAsiaTheme="minorEastAsia" w:hAnsiTheme="minorEastAsia" w:cs="宋体" w:hint="eastAsia"/>
          <w:b/>
          <w:kern w:val="0"/>
          <w:sz w:val="30"/>
          <w:szCs w:val="30"/>
        </w:rPr>
        <w:t>广发集富纯债债券型证券投资基金分红公告</w:t>
      </w:r>
    </w:p>
    <w:p w:rsidR="00893436" w:rsidRPr="00D66999" w:rsidRDefault="00893436" w:rsidP="00812228">
      <w:pPr>
        <w:spacing w:line="560" w:lineRule="exact"/>
        <w:jc w:val="center"/>
        <w:rPr>
          <w:rFonts w:asciiTheme="minorEastAsia" w:eastAsiaTheme="minorEastAsia" w:hAnsiTheme="minorEastAsia"/>
          <w:color w:val="000000"/>
          <w:sz w:val="24"/>
          <w:szCs w:val="24"/>
        </w:rPr>
      </w:pPr>
      <w:r w:rsidRPr="00D66999">
        <w:rPr>
          <w:rFonts w:asciiTheme="minorEastAsia" w:eastAsiaTheme="minorEastAsia" w:hAnsiTheme="minorEastAsia"/>
          <w:color w:val="000000"/>
          <w:sz w:val="24"/>
          <w:szCs w:val="24"/>
        </w:rPr>
        <w:t>公告送出日期：2023年12月15日</w:t>
      </w:r>
    </w:p>
    <w:p w:rsidR="00893436" w:rsidRPr="00BD5586" w:rsidRDefault="00893436" w:rsidP="00B14D73">
      <w:pPr>
        <w:jc w:val="center"/>
        <w:rPr>
          <w:color w:val="000000"/>
          <w:sz w:val="24"/>
        </w:rPr>
      </w:pPr>
    </w:p>
    <w:p w:rsidR="00893436" w:rsidRDefault="00812228" w:rsidP="0092384D">
      <w:pPr>
        <w:pStyle w:val="3"/>
        <w:keepNext w:val="0"/>
        <w:keepLines w:val="0"/>
        <w:spacing w:line="360" w:lineRule="auto"/>
        <w:rPr>
          <w:rFonts w:ascii="宋体" w:hAnsi="宋体"/>
          <w:bCs w:val="0"/>
          <w:sz w:val="24"/>
          <w:szCs w:val="24"/>
        </w:rPr>
      </w:pPr>
      <w:bookmarkStart w:id="0" w:name="_Toc275961418"/>
      <w:r>
        <w:rPr>
          <w:rFonts w:ascii="宋体" w:hAnsi="宋体"/>
          <w:bCs w:val="0"/>
          <w:sz w:val="24"/>
          <w:szCs w:val="24"/>
        </w:rPr>
        <w:t>1</w:t>
      </w:r>
      <w:r>
        <w:rPr>
          <w:rFonts w:ascii="宋体" w:hAnsi="宋体" w:hint="eastAsia"/>
          <w:bCs w:val="0"/>
          <w:sz w:val="24"/>
          <w:szCs w:val="24"/>
        </w:rPr>
        <w:t>.</w:t>
      </w:r>
      <w:r w:rsidR="00893436" w:rsidRPr="00812228">
        <w:rPr>
          <w:rFonts w:ascii="宋体" w:hAnsi="宋体"/>
          <w:bCs w:val="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7"/>
        <w:gridCol w:w="2791"/>
        <w:gridCol w:w="2146"/>
        <w:gridCol w:w="2715"/>
      </w:tblGrid>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基金名称</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广发集富纯债债券型证券投资基金</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基金简称</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广发集富纯债</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基金主代码</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003039</w:t>
            </w:r>
          </w:p>
        </w:tc>
      </w:tr>
      <w:tr w:rsidR="00D82E8A" w:rsidRPr="00025641" w:rsidTr="00885C64">
        <w:trPr>
          <w:jc w:val="center"/>
        </w:trPr>
        <w:tc>
          <w:tcPr>
            <w:tcW w:w="4778" w:type="dxa"/>
            <w:gridSpan w:val="2"/>
            <w:vAlign w:val="center"/>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基金合同生效日</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2017年1月13日</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基金管理人名称</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广发基金管理有限公司</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基金托管人名称</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中国银行股份有限公司</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公告依据</w:t>
            </w:r>
          </w:p>
        </w:tc>
        <w:tc>
          <w:tcPr>
            <w:tcW w:w="4861" w:type="dxa"/>
            <w:gridSpan w:val="2"/>
            <w:vAlign w:val="center"/>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《中华人民共和国证券投资基金法》及其配套法规、《广发集富纯债债券型证券投资基金基金合同》、《广发集富纯债债券型证券投资基金招募说明书》</w:t>
            </w:r>
          </w:p>
        </w:tc>
      </w:tr>
      <w:tr w:rsidR="00D82E8A" w:rsidRPr="00025641" w:rsidTr="00885C64">
        <w:trPr>
          <w:jc w:val="center"/>
        </w:trPr>
        <w:tc>
          <w:tcPr>
            <w:tcW w:w="4778" w:type="dxa"/>
            <w:gridSpan w:val="2"/>
          </w:tcPr>
          <w:p w:rsidR="00D82E8A" w:rsidRPr="00025641" w:rsidRDefault="00D82E8A" w:rsidP="00906B54">
            <w:pPr>
              <w:rPr>
                <w:rFonts w:asciiTheme="minorEastAsia" w:eastAsiaTheme="minorEastAsia" w:hAnsiTheme="minorEastAsia"/>
                <w:sz w:val="24"/>
                <w:szCs w:val="24"/>
              </w:rPr>
            </w:pPr>
            <w:r w:rsidRPr="00025641">
              <w:rPr>
                <w:rFonts w:asciiTheme="minorEastAsia" w:eastAsiaTheme="minorEastAsia" w:hAnsiTheme="minorEastAsia"/>
                <w:sz w:val="24"/>
                <w:szCs w:val="24"/>
              </w:rPr>
              <w:t>收益分配基准日</w:t>
            </w:r>
          </w:p>
        </w:tc>
        <w:tc>
          <w:tcPr>
            <w:tcW w:w="4861" w:type="dxa"/>
            <w:gridSpan w:val="2"/>
          </w:tcPr>
          <w:p w:rsidR="00D82E8A" w:rsidRPr="00025641" w:rsidRDefault="00D82E8A" w:rsidP="00906B54">
            <w:pPr>
              <w:jc w:val="left"/>
              <w:rPr>
                <w:rFonts w:asciiTheme="minorEastAsia" w:eastAsiaTheme="minorEastAsia" w:hAnsiTheme="minorEastAsia"/>
                <w:sz w:val="24"/>
                <w:szCs w:val="24"/>
              </w:rPr>
            </w:pPr>
            <w:r w:rsidRPr="00025641">
              <w:rPr>
                <w:rFonts w:asciiTheme="minorEastAsia" w:eastAsiaTheme="minorEastAsia" w:hAnsiTheme="minorEastAsia"/>
                <w:sz w:val="24"/>
                <w:szCs w:val="24"/>
              </w:rPr>
              <w:t>2023年12月11日</w:t>
            </w:r>
          </w:p>
        </w:tc>
      </w:tr>
      <w:tr w:rsidR="00893436" w:rsidRPr="003C2C83" w:rsidTr="004B470A">
        <w:trPr>
          <w:jc w:val="center"/>
        </w:trPr>
        <w:tc>
          <w:tcPr>
            <w:tcW w:w="4778" w:type="dxa"/>
            <w:gridSpan w:val="2"/>
            <w:vAlign w:val="center"/>
          </w:tcPr>
          <w:p w:rsidR="00893436" w:rsidRPr="003C2C83" w:rsidRDefault="00893436"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有关年度分红次数的说明</w:t>
            </w:r>
          </w:p>
        </w:tc>
        <w:tc>
          <w:tcPr>
            <w:tcW w:w="4861" w:type="dxa"/>
            <w:gridSpan w:val="2"/>
            <w:vAlign w:val="center"/>
          </w:tcPr>
          <w:p w:rsidR="00893436" w:rsidRPr="003C2C83" w:rsidRDefault="009732A4"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本次分红为2023年度的第4次分红</w:t>
            </w:r>
          </w:p>
        </w:tc>
      </w:tr>
      <w:tr w:rsidR="00266A99" w:rsidRPr="003C2C83" w:rsidTr="004B470A">
        <w:trPr>
          <w:jc w:val="center"/>
        </w:trPr>
        <w:tc>
          <w:tcPr>
            <w:tcW w:w="4778" w:type="dxa"/>
            <w:gridSpan w:val="2"/>
            <w:vAlign w:val="center"/>
          </w:tcPr>
          <w:p w:rsidR="00266A99" w:rsidRPr="003C2C83" w:rsidRDefault="00266A99"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下属分级基金的基金简称</w:t>
            </w:r>
          </w:p>
        </w:tc>
        <w:tc>
          <w:tcPr>
            <w:tcW w:w="2146" w:type="dxa"/>
          </w:tcPr>
          <w:p w:rsidR="00266A99" w:rsidRPr="003C2C83" w:rsidRDefault="00266A99" w:rsidP="00981A21">
            <w:pPr>
              <w:rPr>
                <w:rFonts w:asciiTheme="minorEastAsia" w:eastAsiaTheme="minorEastAsia" w:hAnsiTheme="minorEastAsia"/>
                <w:sz w:val="24"/>
                <w:szCs w:val="24"/>
              </w:rPr>
            </w:pPr>
            <w:r w:rsidRPr="003C2C83">
              <w:rPr>
                <w:rFonts w:asciiTheme="minorEastAsia" w:eastAsiaTheme="minorEastAsia" w:hAnsiTheme="minorEastAsia"/>
                <w:sz w:val="24"/>
                <w:szCs w:val="24"/>
              </w:rPr>
              <w:t>广发集富纯债A</w:t>
            </w:r>
          </w:p>
        </w:tc>
        <w:tc>
          <w:tcPr>
            <w:tcW w:w="2715" w:type="dxa"/>
          </w:tcPr>
          <w:p w:rsidR="00266A99" w:rsidRPr="003C2C83" w:rsidRDefault="00266A99"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广发集富纯债C</w:t>
            </w:r>
          </w:p>
        </w:tc>
      </w:tr>
      <w:tr w:rsidR="00266A99" w:rsidRPr="003C2C83" w:rsidTr="004B470A">
        <w:trPr>
          <w:jc w:val="center"/>
        </w:trPr>
        <w:tc>
          <w:tcPr>
            <w:tcW w:w="4778" w:type="dxa"/>
            <w:gridSpan w:val="2"/>
            <w:vAlign w:val="center"/>
          </w:tcPr>
          <w:p w:rsidR="00266A99" w:rsidRPr="003C2C83" w:rsidRDefault="00266A99"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下属分级基金的交易代码</w:t>
            </w:r>
          </w:p>
        </w:tc>
        <w:tc>
          <w:tcPr>
            <w:tcW w:w="2146" w:type="dxa"/>
          </w:tcPr>
          <w:p w:rsidR="00266A99" w:rsidRPr="003C2C83" w:rsidRDefault="00266A99" w:rsidP="00981A21">
            <w:pPr>
              <w:rPr>
                <w:rFonts w:asciiTheme="minorEastAsia" w:eastAsiaTheme="minorEastAsia" w:hAnsiTheme="minorEastAsia"/>
                <w:sz w:val="24"/>
                <w:szCs w:val="24"/>
              </w:rPr>
            </w:pPr>
            <w:r w:rsidRPr="003C2C83">
              <w:rPr>
                <w:rFonts w:asciiTheme="minorEastAsia" w:eastAsiaTheme="minorEastAsia" w:hAnsiTheme="minorEastAsia"/>
                <w:sz w:val="24"/>
                <w:szCs w:val="24"/>
              </w:rPr>
              <w:t>003039</w:t>
            </w:r>
          </w:p>
        </w:tc>
        <w:tc>
          <w:tcPr>
            <w:tcW w:w="2715" w:type="dxa"/>
          </w:tcPr>
          <w:p w:rsidR="00266A99" w:rsidRPr="003C2C83" w:rsidRDefault="00266A99"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003040</w:t>
            </w:r>
          </w:p>
        </w:tc>
      </w:tr>
      <w:tr w:rsidR="000C169A" w:rsidRPr="003C2C83" w:rsidTr="004B470A">
        <w:trPr>
          <w:jc w:val="center"/>
        </w:trPr>
        <w:tc>
          <w:tcPr>
            <w:tcW w:w="1987" w:type="dxa"/>
            <w:vMerge w:val="restart"/>
            <w:vAlign w:val="center"/>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截止基准日下属分级基金的相关指标</w:t>
            </w:r>
          </w:p>
        </w:tc>
        <w:tc>
          <w:tcPr>
            <w:tcW w:w="2791"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基准日下属分级基金份额净值</w:t>
            </w:r>
            <w:r w:rsidRPr="003C2C83">
              <w:rPr>
                <w:rFonts w:asciiTheme="minorEastAsia" w:eastAsiaTheme="minorEastAsia" w:hAnsiTheme="minorEastAsia" w:hint="eastAsia"/>
                <w:sz w:val="24"/>
                <w:szCs w:val="24"/>
              </w:rPr>
              <w:t>（单位：元）</w:t>
            </w:r>
          </w:p>
        </w:tc>
        <w:tc>
          <w:tcPr>
            <w:tcW w:w="2146"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1.027</w:t>
            </w:r>
          </w:p>
        </w:tc>
        <w:tc>
          <w:tcPr>
            <w:tcW w:w="2715"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1.024</w:t>
            </w:r>
          </w:p>
        </w:tc>
      </w:tr>
      <w:tr w:rsidR="000C169A" w:rsidRPr="003C2C83" w:rsidTr="004B470A">
        <w:trPr>
          <w:trHeight w:val="405"/>
          <w:jc w:val="center"/>
        </w:trPr>
        <w:tc>
          <w:tcPr>
            <w:tcW w:w="1987" w:type="dxa"/>
            <w:vMerge/>
          </w:tcPr>
          <w:p w:rsidR="000C169A" w:rsidRPr="003C2C83" w:rsidRDefault="000C169A" w:rsidP="003C2C83">
            <w:pPr>
              <w:rPr>
                <w:rFonts w:asciiTheme="minorEastAsia" w:eastAsiaTheme="minorEastAsia" w:hAnsiTheme="minorEastAsia"/>
                <w:sz w:val="24"/>
                <w:szCs w:val="24"/>
              </w:rPr>
            </w:pPr>
          </w:p>
        </w:tc>
        <w:tc>
          <w:tcPr>
            <w:tcW w:w="2791" w:type="dxa"/>
            <w:vAlign w:val="center"/>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基准日下属分级基金可供分配利润</w:t>
            </w:r>
            <w:r w:rsidRPr="003C2C83">
              <w:rPr>
                <w:rFonts w:asciiTheme="minorEastAsia" w:eastAsiaTheme="minorEastAsia" w:hAnsiTheme="minorEastAsia" w:hint="eastAsia"/>
                <w:sz w:val="24"/>
                <w:szCs w:val="24"/>
              </w:rPr>
              <w:t>（单位：元）</w:t>
            </w:r>
          </w:p>
        </w:tc>
        <w:tc>
          <w:tcPr>
            <w:tcW w:w="2146"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7,167,612.14</w:t>
            </w:r>
          </w:p>
        </w:tc>
        <w:tc>
          <w:tcPr>
            <w:tcW w:w="2715" w:type="dxa"/>
          </w:tcPr>
          <w:p w:rsidR="000C169A" w:rsidRPr="003C2C83" w:rsidRDefault="000C169A" w:rsidP="003C2C83">
            <w:pPr>
              <w:rPr>
                <w:rFonts w:asciiTheme="minorEastAsia" w:eastAsiaTheme="minorEastAsia" w:hAnsiTheme="minorEastAsia"/>
                <w:sz w:val="24"/>
                <w:szCs w:val="24"/>
              </w:rPr>
            </w:pPr>
            <w:r w:rsidRPr="003C2C83">
              <w:rPr>
                <w:rFonts w:asciiTheme="minorEastAsia" w:eastAsiaTheme="minorEastAsia" w:hAnsiTheme="minorEastAsia"/>
                <w:sz w:val="24"/>
                <w:szCs w:val="24"/>
              </w:rPr>
              <w:t>6,278.47</w:t>
            </w:r>
          </w:p>
        </w:tc>
      </w:tr>
      <w:tr w:rsidR="00F75A84">
        <w:trPr>
          <w:jc w:val="center"/>
        </w:trPr>
        <w:tc>
          <w:tcPr>
            <w:tcW w:w="1987" w:type="dxa"/>
            <w:vMerge/>
          </w:tcPr>
          <w:p w:rsidR="00F75A84" w:rsidRDefault="00F75A84"/>
        </w:tc>
        <w:tc>
          <w:tcPr>
            <w:tcW w:w="2791" w:type="dxa"/>
            <w:vAlign w:val="center"/>
          </w:tcPr>
          <w:p w:rsidR="00F75A84" w:rsidRDefault="00F740B6" w:rsidP="005B4B2D">
            <w:bookmarkStart w:id="1" w:name="_GoBack"/>
            <w:r>
              <w:rPr>
                <w:rFonts w:asciiTheme="minorEastAsia" w:eastAsiaTheme="minorEastAsia" w:hAnsiTheme="minorEastAsia"/>
                <w:sz w:val="24"/>
                <w:szCs w:val="24"/>
              </w:rPr>
              <w:t>截止基准日按照基金合同约定的分红比例计算的应分配金额（单位：元）</w:t>
            </w:r>
            <w:bookmarkEnd w:id="1"/>
          </w:p>
        </w:tc>
        <w:tc>
          <w:tcPr>
            <w:tcW w:w="2146" w:type="dxa"/>
            <w:vAlign w:val="center"/>
          </w:tcPr>
          <w:p w:rsidR="00F75A84" w:rsidRDefault="00F740B6">
            <w:pPr>
              <w:jc w:val="left"/>
            </w:pPr>
            <w:r>
              <w:rPr>
                <w:rFonts w:asciiTheme="minorEastAsia" w:eastAsiaTheme="minorEastAsia" w:hAnsiTheme="minorEastAsia"/>
                <w:sz w:val="24"/>
                <w:szCs w:val="24"/>
              </w:rPr>
              <w:t>2,150,283.65</w:t>
            </w:r>
          </w:p>
        </w:tc>
        <w:tc>
          <w:tcPr>
            <w:tcW w:w="2715" w:type="dxa"/>
            <w:vAlign w:val="center"/>
          </w:tcPr>
          <w:p w:rsidR="00F75A84" w:rsidRDefault="00F740B6">
            <w:pPr>
              <w:jc w:val="left"/>
            </w:pPr>
            <w:r>
              <w:rPr>
                <w:rFonts w:asciiTheme="minorEastAsia" w:eastAsiaTheme="minorEastAsia" w:hAnsiTheme="minorEastAsia"/>
                <w:sz w:val="24"/>
                <w:szCs w:val="24"/>
              </w:rPr>
              <w:t>1,883.55</w:t>
            </w:r>
          </w:p>
        </w:tc>
      </w:tr>
      <w:tr w:rsidR="00266A99" w:rsidRPr="000730CB" w:rsidTr="009544EE">
        <w:trPr>
          <w:jc w:val="center"/>
        </w:trPr>
        <w:tc>
          <w:tcPr>
            <w:tcW w:w="4761" w:type="dxa"/>
            <w:gridSpan w:val="2"/>
          </w:tcPr>
          <w:p w:rsidR="00266A99" w:rsidRPr="000730CB" w:rsidRDefault="00266A99" w:rsidP="000730CB">
            <w:pPr>
              <w:rPr>
                <w:rFonts w:asciiTheme="minorEastAsia" w:eastAsiaTheme="minorEastAsia" w:hAnsiTheme="minorEastAsia"/>
                <w:sz w:val="24"/>
                <w:szCs w:val="24"/>
              </w:rPr>
            </w:pPr>
            <w:r w:rsidRPr="000730CB">
              <w:rPr>
                <w:rFonts w:asciiTheme="minorEastAsia" w:eastAsiaTheme="minorEastAsia" w:hAnsiTheme="minorEastAsia"/>
                <w:sz w:val="24"/>
                <w:szCs w:val="24"/>
              </w:rPr>
              <w:lastRenderedPageBreak/>
              <w:t>本次下属分级基金分红方案（单位：元/10份基金份额）</w:t>
            </w:r>
          </w:p>
        </w:tc>
        <w:tc>
          <w:tcPr>
            <w:tcW w:w="2139" w:type="dxa"/>
          </w:tcPr>
          <w:p w:rsidR="00266A99" w:rsidRPr="000730CB" w:rsidRDefault="00266A99" w:rsidP="000730CB">
            <w:pPr>
              <w:rPr>
                <w:rFonts w:asciiTheme="minorEastAsia" w:eastAsiaTheme="minorEastAsia" w:hAnsiTheme="minorEastAsia"/>
                <w:sz w:val="24"/>
                <w:szCs w:val="24"/>
              </w:rPr>
            </w:pPr>
            <w:r w:rsidRPr="000730CB">
              <w:rPr>
                <w:rFonts w:asciiTheme="minorEastAsia" w:eastAsiaTheme="minorEastAsia" w:hAnsiTheme="minorEastAsia" w:hint="eastAsia"/>
                <w:sz w:val="24"/>
                <w:szCs w:val="24"/>
              </w:rPr>
              <w:t>0.070</w:t>
            </w:r>
          </w:p>
        </w:tc>
        <w:tc>
          <w:tcPr>
            <w:tcW w:w="2706" w:type="dxa"/>
          </w:tcPr>
          <w:p w:rsidR="00266A99" w:rsidRPr="000730CB" w:rsidRDefault="00266A99" w:rsidP="000730CB">
            <w:pPr>
              <w:rPr>
                <w:rFonts w:asciiTheme="minorEastAsia" w:eastAsiaTheme="minorEastAsia" w:hAnsiTheme="minorEastAsia"/>
                <w:sz w:val="24"/>
                <w:szCs w:val="24"/>
              </w:rPr>
            </w:pPr>
            <w:r w:rsidRPr="000730CB">
              <w:rPr>
                <w:rFonts w:asciiTheme="minorEastAsia" w:eastAsiaTheme="minorEastAsia" w:hAnsiTheme="minorEastAsia" w:hint="eastAsia"/>
                <w:sz w:val="24"/>
                <w:szCs w:val="24"/>
              </w:rPr>
              <w:t>0.050</w:t>
            </w:r>
          </w:p>
        </w:tc>
      </w:tr>
    </w:tbl>
    <w:p w:rsidR="00893436" w:rsidRPr="00812228" w:rsidRDefault="00F45E48" w:rsidP="004A5DB0">
      <w:pPr>
        <w:rPr>
          <w:rFonts w:asciiTheme="minorEastAsia" w:eastAsiaTheme="minorEastAsia" w:hAnsiTheme="minorEastAsia"/>
          <w:color w:val="000000"/>
          <w:sz w:val="24"/>
          <w:szCs w:val="24"/>
        </w:rPr>
      </w:pPr>
      <w:r w:rsidRPr="00812228">
        <w:rPr>
          <w:rFonts w:asciiTheme="minorEastAsia" w:eastAsiaTheme="minorEastAsia" w:hAnsiTheme="minorEastAsia"/>
          <w:color w:val="000000"/>
          <w:sz w:val="24"/>
          <w:szCs w:val="24"/>
        </w:rPr>
        <w:t>注：根据本基金基金合同约定，在符合有关基金分红条件的前提下，本基金收益每季度最少分配一次，每年收益分配次数最多为12次，每次收益分配比例不得低于收益分配基准日可供分配利润的30%。</w:t>
      </w:r>
    </w:p>
    <w:p w:rsidR="00893436" w:rsidRPr="000730CB" w:rsidRDefault="00812228" w:rsidP="000730CB">
      <w:pPr>
        <w:pStyle w:val="2"/>
        <w:spacing w:line="360" w:lineRule="auto"/>
        <w:rPr>
          <w:rFonts w:asciiTheme="minorEastAsia" w:eastAsiaTheme="minorEastAsia" w:hAnsiTheme="minorEastAsia"/>
          <w:bCs w:val="0"/>
          <w:color w:val="000000"/>
          <w:sz w:val="24"/>
          <w:szCs w:val="24"/>
        </w:rPr>
      </w:pPr>
      <w:bookmarkStart w:id="2" w:name="_Toc275961419"/>
      <w:r w:rsidRPr="000730CB">
        <w:rPr>
          <w:rFonts w:asciiTheme="minorEastAsia" w:eastAsiaTheme="minorEastAsia" w:hAnsiTheme="minorEastAsia"/>
          <w:bCs w:val="0"/>
          <w:color w:val="000000"/>
          <w:sz w:val="24"/>
          <w:szCs w:val="24"/>
        </w:rPr>
        <w:t>2</w:t>
      </w:r>
      <w:r w:rsidRPr="000730CB">
        <w:rPr>
          <w:rFonts w:asciiTheme="minorEastAsia" w:eastAsiaTheme="minorEastAsia" w:hAnsiTheme="minorEastAsia" w:hint="eastAsia"/>
          <w:bCs w:val="0"/>
          <w:color w:val="000000"/>
          <w:sz w:val="24"/>
          <w:szCs w:val="24"/>
        </w:rPr>
        <w:t>.</w:t>
      </w:r>
      <w:r w:rsidR="00893436" w:rsidRPr="000730CB">
        <w:rPr>
          <w:rFonts w:asciiTheme="minorEastAsia" w:eastAsiaTheme="minorEastAsia" w:hAnsiTheme="minorEastAsia"/>
          <w:bCs w:val="0"/>
          <w:color w:val="000000"/>
          <w:sz w:val="24"/>
          <w:szCs w:val="24"/>
        </w:rPr>
        <w:t>与分红相关的其他信息</w:t>
      </w:r>
      <w:bookmarkEnd w:id="2"/>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2"/>
        <w:gridCol w:w="5978"/>
      </w:tblGrid>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权益登记日</w:t>
            </w:r>
          </w:p>
        </w:tc>
        <w:tc>
          <w:tcPr>
            <w:tcW w:w="5978" w:type="dxa"/>
          </w:tcPr>
          <w:p w:rsidR="00893436" w:rsidRPr="00890BE3" w:rsidRDefault="00362297"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2023年12月18日</w:t>
            </w:r>
          </w:p>
        </w:tc>
      </w:tr>
      <w:tr w:rsidR="005B4B2D" w:rsidRPr="00890BE3" w:rsidTr="005B4B2D">
        <w:trPr>
          <w:jc w:val="center"/>
        </w:trPr>
        <w:tc>
          <w:tcPr>
            <w:tcW w:w="3342" w:type="dxa"/>
          </w:tcPr>
          <w:p w:rsidR="00566135" w:rsidRPr="00890BE3" w:rsidRDefault="00566135"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除息日</w:t>
            </w:r>
          </w:p>
        </w:tc>
        <w:tc>
          <w:tcPr>
            <w:tcW w:w="2989" w:type="dxa"/>
          </w:tcPr>
          <w:p w:rsidR="00566135" w:rsidRPr="00890BE3" w:rsidRDefault="00566135"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2023年12月18日（场外）</w:t>
            </w:r>
          </w:p>
        </w:tc>
      </w:tr>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现金红利发放日</w:t>
            </w:r>
          </w:p>
        </w:tc>
        <w:tc>
          <w:tcPr>
            <w:tcW w:w="5978" w:type="dxa"/>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2023年12月19日</w:t>
            </w:r>
          </w:p>
        </w:tc>
      </w:tr>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分红对象</w:t>
            </w:r>
          </w:p>
        </w:tc>
        <w:tc>
          <w:tcPr>
            <w:tcW w:w="5978" w:type="dxa"/>
            <w:shd w:val="clear" w:color="auto" w:fill="auto"/>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权益登记日在本公司登记在册的本基金份额的全体持有人</w:t>
            </w:r>
          </w:p>
        </w:tc>
      </w:tr>
      <w:tr w:rsidR="00893436" w:rsidRPr="00890BE3" w:rsidTr="00B14D73">
        <w:trPr>
          <w:jc w:val="center"/>
        </w:trPr>
        <w:tc>
          <w:tcPr>
            <w:tcW w:w="3342" w:type="dxa"/>
            <w:shd w:val="clear" w:color="auto" w:fill="auto"/>
            <w:vAlign w:val="center"/>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红利再投资相关事项的说明</w:t>
            </w:r>
          </w:p>
        </w:tc>
        <w:tc>
          <w:tcPr>
            <w:tcW w:w="5978" w:type="dxa"/>
            <w:shd w:val="clear" w:color="auto" w:fill="auto"/>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选择红利再投资方式的投资者由红利转得的基金份额将以2023年12月18日的基金份额净值为计算基准确定。2023年12月20日起投资者可以查询。</w:t>
            </w:r>
          </w:p>
        </w:tc>
      </w:tr>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税收相关事项的说明</w:t>
            </w:r>
          </w:p>
        </w:tc>
        <w:tc>
          <w:tcPr>
            <w:tcW w:w="5978" w:type="dxa"/>
            <w:shd w:val="clear" w:color="auto" w:fill="auto"/>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根据相关法律法规规定，基金向投资者分配的基金收益，暂免征收所得税。</w:t>
            </w:r>
          </w:p>
        </w:tc>
      </w:tr>
      <w:tr w:rsidR="00893436" w:rsidRPr="00890BE3" w:rsidTr="00B14D73">
        <w:trPr>
          <w:jc w:val="center"/>
        </w:trPr>
        <w:tc>
          <w:tcPr>
            <w:tcW w:w="3342" w:type="dxa"/>
          </w:tcPr>
          <w:p w:rsidR="00893436" w:rsidRPr="00890BE3" w:rsidRDefault="00893436"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费用相关事项的说明</w:t>
            </w:r>
          </w:p>
        </w:tc>
        <w:tc>
          <w:tcPr>
            <w:tcW w:w="5978" w:type="dxa"/>
            <w:shd w:val="clear" w:color="auto" w:fill="auto"/>
          </w:tcPr>
          <w:p w:rsidR="00893436" w:rsidRPr="00890BE3" w:rsidRDefault="00BA7F58" w:rsidP="00890BE3">
            <w:pPr>
              <w:rPr>
                <w:rFonts w:asciiTheme="minorEastAsia" w:eastAsiaTheme="minorEastAsia" w:hAnsiTheme="minorEastAsia"/>
                <w:sz w:val="24"/>
                <w:szCs w:val="24"/>
              </w:rPr>
            </w:pPr>
            <w:r w:rsidRPr="00890BE3">
              <w:rPr>
                <w:rFonts w:asciiTheme="minorEastAsia" w:eastAsiaTheme="minorEastAsia" w:hAnsiTheme="minorEastAsia"/>
                <w:sz w:val="24"/>
                <w:szCs w:val="24"/>
              </w:rPr>
              <w:t>本基金本次分红免收分红手续费。</w:t>
            </w:r>
          </w:p>
        </w:tc>
      </w:tr>
    </w:tbl>
    <w:p w:rsidR="00893436" w:rsidRPr="00890BE3" w:rsidRDefault="00893436" w:rsidP="00890BE3">
      <w:pPr>
        <w:pStyle w:val="2"/>
        <w:spacing w:line="360" w:lineRule="auto"/>
        <w:rPr>
          <w:rFonts w:asciiTheme="minorEastAsia" w:eastAsiaTheme="minorEastAsia" w:hAnsiTheme="minorEastAsia"/>
          <w:bCs w:val="0"/>
          <w:color w:val="000000"/>
          <w:sz w:val="24"/>
          <w:szCs w:val="24"/>
        </w:rPr>
      </w:pPr>
      <w:bookmarkStart w:id="3" w:name="_Toc275961420"/>
      <w:r w:rsidRPr="00890BE3">
        <w:rPr>
          <w:rFonts w:asciiTheme="minorEastAsia" w:eastAsiaTheme="minorEastAsia" w:hAnsiTheme="minorEastAsia"/>
          <w:bCs w:val="0"/>
          <w:color w:val="000000"/>
          <w:sz w:val="24"/>
          <w:szCs w:val="24"/>
        </w:rPr>
        <w:t>3</w:t>
      </w:r>
      <w:r w:rsidR="00812228" w:rsidRPr="00890BE3">
        <w:rPr>
          <w:rFonts w:asciiTheme="minorEastAsia" w:eastAsiaTheme="minorEastAsia" w:hAnsiTheme="minorEastAsia" w:hint="eastAsia"/>
          <w:bCs w:val="0"/>
          <w:color w:val="000000"/>
          <w:sz w:val="24"/>
          <w:szCs w:val="24"/>
        </w:rPr>
        <w:t>.</w:t>
      </w:r>
      <w:r w:rsidRPr="00890BE3">
        <w:rPr>
          <w:rFonts w:asciiTheme="minorEastAsia" w:eastAsiaTheme="minorEastAsia" w:hAnsiTheme="minorEastAsia"/>
          <w:bCs w:val="0"/>
          <w:color w:val="000000"/>
          <w:sz w:val="24"/>
          <w:szCs w:val="24"/>
        </w:rPr>
        <w:t>其他需要提示的事项</w:t>
      </w:r>
      <w:bookmarkEnd w:id="3"/>
    </w:p>
    <w:p w:rsidR="00F75A84" w:rsidRDefault="00F740B6">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（1）权益登记日申请申购的基金份额不享有本次分红权益，权益登记日申请赎回的基金份额享有本次分红权益。</w:t>
      </w:r>
    </w:p>
    <w:p w:rsidR="00F75A84" w:rsidRDefault="00F740B6">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（2）对于未选择具体分红方式的投资者，本基金默认的分红方式为现金分红。</w:t>
      </w:r>
    </w:p>
    <w:p w:rsidR="00F75A84" w:rsidRDefault="00F740B6">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3）投资者可以在工作日的交易时间内到销售网点修改分红方式，本次分红确认的方式将按照投资者在权益登记日之前（不含2023年12月18日）最后一次选择的分红方式为准。请投资者到销售网点或通过本公司客户服务电话95105828或020-83936999确认分红方式是否正确，如不正确或希望修改分红方式的，请务必在规定时间前到销售网点办理变更手续。</w:t>
      </w:r>
    </w:p>
    <w:p w:rsidR="00F75A84" w:rsidRDefault="00F740B6">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lastRenderedPageBreak/>
        <w:t>（4）投资者通过某一销售机构指定交易账户按基金代码提交的分红方式变更申请，只对投资者在该销售机构指定交易账户下的基金份额有效，并不改变投资者在该销售机构其他交易账户或其他销售机构下的基金份额的分红方式。如投资者希望变更该销售机构其他交易账户或其他销售机构下的基金份额的分红方式，需分别按基金代码通过各销售机构交易账户逐一提交变更分红方式的业务申请。详见本公司于2023年2月23日发布的《广发基金管理有限公司关于调整旗下部分开放式基金分红方式变更规则的公告》。</w:t>
      </w:r>
    </w:p>
    <w:p w:rsidR="00F75A84" w:rsidRDefault="00F740B6">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（5）建议基金份额持有人在修改分红方式后，在T+2日（申请修改分红方式之日为T日）后（含T+2日）向销售网点或本公司确认分红方式的修改是否成功。</w:t>
      </w:r>
    </w:p>
    <w:p w:rsidR="00F75A84" w:rsidRDefault="00F740B6">
      <w:pPr>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风险提示：本基金分红并不改变本基金的风险收益特征，也不会因此降低基金投资风险或提高基金投资收益。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投资者欲了解有关分红的情况，可到办理业务的当地销售网点查询，也可以登录本公司网站（www.gffunds.com.cn）或拨打本公司客户服务电话95105828或020-83936999咨询相关事宜。</w:t>
      </w:r>
    </w:p>
    <w:p w:rsidR="00364C2A" w:rsidRDefault="00284B1B" w:rsidP="007E13BE">
      <w:pPr>
        <w:ind w:firstLineChars="200" w:firstLine="480"/>
        <w:rPr>
          <w:rFonts w:asciiTheme="minorEastAsia" w:eastAsiaTheme="minorEastAsia" w:hAnsiTheme="minorEastAsia"/>
          <w:color w:val="000000"/>
          <w:sz w:val="24"/>
          <w:szCs w:val="24"/>
        </w:rPr>
      </w:pPr>
      <w:r w:rsidRPr="00812228">
        <w:rPr>
          <w:rFonts w:asciiTheme="minorEastAsia" w:eastAsiaTheme="minorEastAsia" w:hAnsiTheme="minorEastAsia"/>
          <w:color w:val="000000"/>
          <w:sz w:val="24"/>
          <w:szCs w:val="24"/>
        </w:rPr>
        <w:t>特此公告。</w:t>
      </w:r>
    </w:p>
    <w:p w:rsidR="00AC470F" w:rsidRDefault="00AC470F" w:rsidP="00812228">
      <w:pPr>
        <w:ind w:firstLineChars="200" w:firstLine="480"/>
        <w:rPr>
          <w:rFonts w:asciiTheme="minorEastAsia" w:eastAsiaTheme="minorEastAsia" w:hAnsiTheme="minorEastAsia"/>
          <w:color w:val="000000"/>
          <w:sz w:val="24"/>
          <w:szCs w:val="24"/>
        </w:rPr>
      </w:pPr>
    </w:p>
    <w:p w:rsidR="00AC470F" w:rsidRDefault="00AC470F" w:rsidP="00812228">
      <w:pPr>
        <w:ind w:firstLineChars="200" w:firstLine="480"/>
        <w:rPr>
          <w:rFonts w:asciiTheme="minorEastAsia" w:eastAsiaTheme="minorEastAsia" w:hAnsiTheme="minorEastAsia"/>
          <w:color w:val="000000"/>
          <w:sz w:val="24"/>
          <w:szCs w:val="24"/>
        </w:rPr>
      </w:pPr>
    </w:p>
    <w:p w:rsidR="00AC470F" w:rsidRPr="004177A9" w:rsidRDefault="00AC470F" w:rsidP="00AC470F">
      <w:pPr>
        <w:jc w:val="right"/>
        <w:rPr>
          <w:rFonts w:asciiTheme="minorEastAsia" w:eastAsiaTheme="minorEastAsia" w:hAnsiTheme="minorEastAsia"/>
          <w:bCs/>
          <w:color w:val="000000" w:themeColor="text1"/>
          <w:sz w:val="24"/>
          <w:szCs w:val="24"/>
        </w:rPr>
      </w:pPr>
      <w:r w:rsidRPr="004177A9">
        <w:rPr>
          <w:rFonts w:asciiTheme="minorEastAsia" w:eastAsiaTheme="minorEastAsia" w:hAnsiTheme="minorEastAsia"/>
          <w:bCs/>
          <w:color w:val="000000" w:themeColor="text1"/>
          <w:sz w:val="24"/>
          <w:szCs w:val="24"/>
        </w:rPr>
        <w:t>广发基金管理有限公司</w:t>
      </w:r>
    </w:p>
    <w:p w:rsidR="00AC470F" w:rsidRPr="004177A9" w:rsidRDefault="00AC470F" w:rsidP="00AC470F">
      <w:pPr>
        <w:jc w:val="right"/>
        <w:rPr>
          <w:rFonts w:asciiTheme="minorEastAsia" w:eastAsiaTheme="minorEastAsia" w:hAnsiTheme="minorEastAsia"/>
          <w:color w:val="000000"/>
          <w:sz w:val="24"/>
          <w:szCs w:val="24"/>
        </w:rPr>
      </w:pPr>
      <w:r w:rsidRPr="004177A9">
        <w:rPr>
          <w:rFonts w:asciiTheme="minorEastAsia" w:eastAsiaTheme="minorEastAsia" w:hAnsiTheme="minorEastAsia"/>
          <w:bCs/>
          <w:color w:val="000000" w:themeColor="text1"/>
          <w:sz w:val="24"/>
          <w:szCs w:val="24"/>
        </w:rPr>
        <w:t>2023年12月15日</w:t>
      </w:r>
    </w:p>
    <w:sectPr w:rsidR="00AC470F" w:rsidRPr="004177A9"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0B6" w:rsidRDefault="00F740B6" w:rsidP="00893436">
      <w:r>
        <w:separator/>
      </w:r>
    </w:p>
  </w:endnote>
  <w:endnote w:type="continuationSeparator" w:id="0">
    <w:p w:rsidR="00F740B6" w:rsidRDefault="00F740B6"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0B6" w:rsidRDefault="00F740B6" w:rsidP="00893436">
      <w:r>
        <w:separator/>
      </w:r>
    </w:p>
  </w:footnote>
  <w:footnote w:type="continuationSeparator" w:id="0">
    <w:p w:rsidR="00F740B6" w:rsidRDefault="00F740B6"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25641"/>
    <w:rsid w:val="00041353"/>
    <w:rsid w:val="0004496C"/>
    <w:rsid w:val="00057AC1"/>
    <w:rsid w:val="0007182D"/>
    <w:rsid w:val="000730CB"/>
    <w:rsid w:val="00077764"/>
    <w:rsid w:val="00085F5C"/>
    <w:rsid w:val="0009778C"/>
    <w:rsid w:val="000A19B2"/>
    <w:rsid w:val="000C169A"/>
    <w:rsid w:val="000C39F6"/>
    <w:rsid w:val="000D3A38"/>
    <w:rsid w:val="000D6418"/>
    <w:rsid w:val="000D7A15"/>
    <w:rsid w:val="00111BD0"/>
    <w:rsid w:val="00135CA1"/>
    <w:rsid w:val="00150DF0"/>
    <w:rsid w:val="0016074B"/>
    <w:rsid w:val="00160D71"/>
    <w:rsid w:val="001A08B2"/>
    <w:rsid w:val="001A61DE"/>
    <w:rsid w:val="001D7FD5"/>
    <w:rsid w:val="00226206"/>
    <w:rsid w:val="00242E4D"/>
    <w:rsid w:val="00247585"/>
    <w:rsid w:val="00266A99"/>
    <w:rsid w:val="00276AA2"/>
    <w:rsid w:val="00284B1B"/>
    <w:rsid w:val="002A63B7"/>
    <w:rsid w:val="002D73E6"/>
    <w:rsid w:val="003160F8"/>
    <w:rsid w:val="0032061C"/>
    <w:rsid w:val="00362297"/>
    <w:rsid w:val="00362529"/>
    <w:rsid w:val="0039192C"/>
    <w:rsid w:val="003C26AF"/>
    <w:rsid w:val="003C2C83"/>
    <w:rsid w:val="003D1DDB"/>
    <w:rsid w:val="003E51F2"/>
    <w:rsid w:val="003E6755"/>
    <w:rsid w:val="00410642"/>
    <w:rsid w:val="00413675"/>
    <w:rsid w:val="004177A9"/>
    <w:rsid w:val="004664D8"/>
    <w:rsid w:val="00482853"/>
    <w:rsid w:val="00486934"/>
    <w:rsid w:val="004966BA"/>
    <w:rsid w:val="004A5DB0"/>
    <w:rsid w:val="004B470A"/>
    <w:rsid w:val="004E68DA"/>
    <w:rsid w:val="0050279B"/>
    <w:rsid w:val="00506E3A"/>
    <w:rsid w:val="00566135"/>
    <w:rsid w:val="005715B6"/>
    <w:rsid w:val="00582B3F"/>
    <w:rsid w:val="00595ED0"/>
    <w:rsid w:val="005B4B2D"/>
    <w:rsid w:val="005C74A7"/>
    <w:rsid w:val="005D6B5D"/>
    <w:rsid w:val="00602C3F"/>
    <w:rsid w:val="0060650E"/>
    <w:rsid w:val="00683DBF"/>
    <w:rsid w:val="00687863"/>
    <w:rsid w:val="006A2E06"/>
    <w:rsid w:val="006D4E2B"/>
    <w:rsid w:val="00721B55"/>
    <w:rsid w:val="00723FDD"/>
    <w:rsid w:val="007415B9"/>
    <w:rsid w:val="00773952"/>
    <w:rsid w:val="007C7B20"/>
    <w:rsid w:val="007E13BE"/>
    <w:rsid w:val="0080692A"/>
    <w:rsid w:val="00812228"/>
    <w:rsid w:val="00813AF3"/>
    <w:rsid w:val="00833BB9"/>
    <w:rsid w:val="00854EE8"/>
    <w:rsid w:val="00865457"/>
    <w:rsid w:val="00880E4A"/>
    <w:rsid w:val="00885C64"/>
    <w:rsid w:val="00886011"/>
    <w:rsid w:val="00890BE3"/>
    <w:rsid w:val="00893436"/>
    <w:rsid w:val="0089627F"/>
    <w:rsid w:val="008C6167"/>
    <w:rsid w:val="008D1F66"/>
    <w:rsid w:val="008F6531"/>
    <w:rsid w:val="00906B54"/>
    <w:rsid w:val="0092384D"/>
    <w:rsid w:val="009302F7"/>
    <w:rsid w:val="009544EE"/>
    <w:rsid w:val="00965E04"/>
    <w:rsid w:val="009732A4"/>
    <w:rsid w:val="009768E9"/>
    <w:rsid w:val="00981A21"/>
    <w:rsid w:val="0099338F"/>
    <w:rsid w:val="009B4BCB"/>
    <w:rsid w:val="009B7E1F"/>
    <w:rsid w:val="009F297D"/>
    <w:rsid w:val="00A27C8C"/>
    <w:rsid w:val="00A67015"/>
    <w:rsid w:val="00A81C93"/>
    <w:rsid w:val="00A83087"/>
    <w:rsid w:val="00A84B99"/>
    <w:rsid w:val="00AC470F"/>
    <w:rsid w:val="00B14D73"/>
    <w:rsid w:val="00B2390E"/>
    <w:rsid w:val="00B44BBE"/>
    <w:rsid w:val="00B5690D"/>
    <w:rsid w:val="00B60712"/>
    <w:rsid w:val="00B65299"/>
    <w:rsid w:val="00B77B08"/>
    <w:rsid w:val="00B81F29"/>
    <w:rsid w:val="00B93C0F"/>
    <w:rsid w:val="00BA7F58"/>
    <w:rsid w:val="00BD5FE1"/>
    <w:rsid w:val="00BD7533"/>
    <w:rsid w:val="00BE444C"/>
    <w:rsid w:val="00BE46A6"/>
    <w:rsid w:val="00BF5698"/>
    <w:rsid w:val="00C15A05"/>
    <w:rsid w:val="00C33DDD"/>
    <w:rsid w:val="00C47A36"/>
    <w:rsid w:val="00CB3D18"/>
    <w:rsid w:val="00CC333F"/>
    <w:rsid w:val="00CC53FB"/>
    <w:rsid w:val="00CE3E95"/>
    <w:rsid w:val="00D20292"/>
    <w:rsid w:val="00D462DF"/>
    <w:rsid w:val="00D53E01"/>
    <w:rsid w:val="00D66999"/>
    <w:rsid w:val="00D82E8A"/>
    <w:rsid w:val="00DA332C"/>
    <w:rsid w:val="00DA7420"/>
    <w:rsid w:val="00DA77C4"/>
    <w:rsid w:val="00DB6924"/>
    <w:rsid w:val="00E100B9"/>
    <w:rsid w:val="00E2166D"/>
    <w:rsid w:val="00E24390"/>
    <w:rsid w:val="00E379B4"/>
    <w:rsid w:val="00E412C2"/>
    <w:rsid w:val="00E44D81"/>
    <w:rsid w:val="00E8116A"/>
    <w:rsid w:val="00E948BF"/>
    <w:rsid w:val="00EA5FFB"/>
    <w:rsid w:val="00EE767E"/>
    <w:rsid w:val="00F0033B"/>
    <w:rsid w:val="00F02A10"/>
    <w:rsid w:val="00F055D7"/>
    <w:rsid w:val="00F4212E"/>
    <w:rsid w:val="00F45E48"/>
    <w:rsid w:val="00F5597E"/>
    <w:rsid w:val="00F740B6"/>
    <w:rsid w:val="00F75A84"/>
    <w:rsid w:val="00FB4F60"/>
    <w:rsid w:val="00FC4488"/>
    <w:rsid w:val="00FC5715"/>
    <w:rsid w:val="00FD4DEA"/>
    <w:rsid w:val="00FF0BA4"/>
    <w:rsid w:val="00FF2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8E9"/>
    <w:pPr>
      <w:widowControl w:val="0"/>
      <w:spacing w:line="360" w:lineRule="auto"/>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812228"/>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3Char">
    <w:name w:val="标题 3 Char"/>
    <w:basedOn w:val="a0"/>
    <w:link w:val="3"/>
    <w:rsid w:val="00812228"/>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1648</Characters>
  <Application>Microsoft Office Word</Application>
  <DocSecurity>4</DocSecurity>
  <Lines>13</Lines>
  <Paragraphs>3</Paragraphs>
  <ScaleCrop>false</ScaleCrop>
  <Company>微软中国</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2023-12-14T16:01:00Z</dcterms:created>
  <dcterms:modified xsi:type="dcterms:W3CDTF">2023-12-14T16:01:00Z</dcterms:modified>
</cp:coreProperties>
</file>