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6A" w:rsidRDefault="00450B3C">
      <w:pPr>
        <w:spacing w:line="360" w:lineRule="auto"/>
        <w:jc w:val="center"/>
        <w:rPr>
          <w:rFonts w:ascii="Times New Roman" w:hAnsi="Times New Roman" w:cs="Times New Roman"/>
          <w:b/>
          <w:sz w:val="36"/>
          <w:szCs w:val="18"/>
        </w:rPr>
      </w:pPr>
      <w:r w:rsidRPr="00450B3C">
        <w:rPr>
          <w:rFonts w:ascii="Times New Roman" w:hAnsiTheme="minorEastAsia" w:cs="Times New Roman" w:hint="eastAsia"/>
          <w:b/>
          <w:sz w:val="36"/>
          <w:szCs w:val="18"/>
        </w:rPr>
        <w:tab/>
      </w:r>
      <w:r w:rsidRPr="00450B3C">
        <w:rPr>
          <w:rFonts w:ascii="Times New Roman" w:hAnsiTheme="minorEastAsia" w:cs="Times New Roman" w:hint="eastAsia"/>
          <w:b/>
          <w:sz w:val="36"/>
          <w:szCs w:val="18"/>
        </w:rPr>
        <w:t>泓德研究优选混合型证券投资基金</w:t>
      </w:r>
      <w:r w:rsidR="00EF6E5E">
        <w:rPr>
          <w:rFonts w:ascii="Times New Roman" w:hAnsiTheme="minorEastAsia" w:cs="Times New Roman"/>
          <w:b/>
          <w:sz w:val="36"/>
          <w:szCs w:val="18"/>
        </w:rPr>
        <w:t>分红公告</w:t>
      </w:r>
    </w:p>
    <w:p w:rsidR="006A476A" w:rsidRDefault="00EF6E5E">
      <w:pPr>
        <w:spacing w:line="360" w:lineRule="auto"/>
        <w:jc w:val="center"/>
        <w:rPr>
          <w:rFonts w:ascii="Times New Roman" w:hAnsi="Times New Roman" w:cs="Times New Roman"/>
          <w:b/>
          <w:sz w:val="24"/>
          <w:szCs w:val="18"/>
        </w:rPr>
      </w:pPr>
      <w:r>
        <w:rPr>
          <w:rFonts w:ascii="Times New Roman" w:hAnsiTheme="minorEastAsia" w:cs="Times New Roman"/>
          <w:b/>
          <w:sz w:val="24"/>
          <w:szCs w:val="18"/>
        </w:rPr>
        <w:t>公告送出日期：</w:t>
      </w:r>
      <w:r w:rsidR="00450B3C">
        <w:rPr>
          <w:rFonts w:ascii="Times New Roman" w:hAnsi="Times New Roman" w:cs="Times New Roman"/>
          <w:b/>
          <w:sz w:val="24"/>
          <w:szCs w:val="18"/>
        </w:rPr>
        <w:t>2023</w:t>
      </w:r>
      <w:r>
        <w:rPr>
          <w:rFonts w:ascii="Times New Roman" w:hAnsiTheme="minorEastAsia" w:cs="Times New Roman"/>
          <w:b/>
          <w:sz w:val="24"/>
          <w:szCs w:val="18"/>
        </w:rPr>
        <w:t>年</w:t>
      </w:r>
      <w:r w:rsidR="00C859CE">
        <w:rPr>
          <w:rFonts w:ascii="Times New Roman" w:hAnsi="Times New Roman" w:cs="Times New Roman"/>
          <w:b/>
          <w:sz w:val="24"/>
          <w:szCs w:val="18"/>
        </w:rPr>
        <w:t>12</w:t>
      </w:r>
      <w:r>
        <w:rPr>
          <w:rFonts w:ascii="Times New Roman" w:hAnsiTheme="minorEastAsia" w:cs="Times New Roman"/>
          <w:b/>
          <w:sz w:val="24"/>
          <w:szCs w:val="18"/>
        </w:rPr>
        <w:t>月</w:t>
      </w:r>
      <w:r w:rsidR="00450B3C">
        <w:rPr>
          <w:rFonts w:ascii="Times New Roman" w:hAnsi="Times New Roman" w:cs="Times New Roman"/>
          <w:b/>
          <w:sz w:val="24"/>
          <w:szCs w:val="18"/>
        </w:rPr>
        <w:t>15</w:t>
      </w:r>
      <w:r>
        <w:rPr>
          <w:rFonts w:ascii="Times New Roman" w:hAnsiTheme="minorEastAsia" w:cs="Times New Roman"/>
          <w:b/>
          <w:sz w:val="24"/>
          <w:szCs w:val="18"/>
        </w:rPr>
        <w:t>日</w:t>
      </w:r>
    </w:p>
    <w:p w:rsidR="006A476A" w:rsidRDefault="006A476A">
      <w:pPr>
        <w:rPr>
          <w:rFonts w:ascii="Times New Roman" w:hAnsi="Times New Roman" w:cs="Times New Roman"/>
          <w:sz w:val="18"/>
          <w:szCs w:val="18"/>
        </w:rPr>
      </w:pPr>
    </w:p>
    <w:p w:rsidR="006A476A" w:rsidRDefault="00EF6E5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Pr>
          <w:rFonts w:ascii="Times New Roman" w:hAnsiTheme="minorEastAsia" w:cs="Times New Roman"/>
          <w:b/>
          <w:sz w:val="24"/>
          <w:szCs w:val="24"/>
        </w:rPr>
        <w:t>公告基本信息</w:t>
      </w:r>
    </w:p>
    <w:tbl>
      <w:tblPr>
        <w:tblStyle w:val="a5"/>
        <w:tblW w:w="0" w:type="auto"/>
        <w:tblLook w:val="04A0"/>
      </w:tblPr>
      <w:tblGrid>
        <w:gridCol w:w="1211"/>
        <w:gridCol w:w="2470"/>
        <w:gridCol w:w="4615"/>
      </w:tblGrid>
      <w:tr w:rsidR="006A476A">
        <w:tc>
          <w:tcPr>
            <w:tcW w:w="3681" w:type="dxa"/>
            <w:gridSpan w:val="2"/>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基金名称</w:t>
            </w:r>
          </w:p>
        </w:tc>
        <w:tc>
          <w:tcPr>
            <w:tcW w:w="4615" w:type="dxa"/>
          </w:tcPr>
          <w:p w:rsidR="006A476A" w:rsidRDefault="00450B3C">
            <w:pPr>
              <w:spacing w:line="360" w:lineRule="auto"/>
              <w:rPr>
                <w:rFonts w:ascii="Times New Roman" w:hAnsi="Times New Roman" w:cs="Times New Roman"/>
                <w:sz w:val="24"/>
                <w:szCs w:val="24"/>
              </w:rPr>
            </w:pPr>
            <w:r w:rsidRPr="00450B3C">
              <w:rPr>
                <w:rFonts w:ascii="Times New Roman" w:hAnsiTheme="minorEastAsia" w:cs="Times New Roman" w:hint="eastAsia"/>
                <w:sz w:val="24"/>
                <w:szCs w:val="24"/>
              </w:rPr>
              <w:t>泓德研究优选混合型证券投资基金</w:t>
            </w:r>
          </w:p>
        </w:tc>
      </w:tr>
      <w:tr w:rsidR="006A476A">
        <w:tc>
          <w:tcPr>
            <w:tcW w:w="3681" w:type="dxa"/>
            <w:gridSpan w:val="2"/>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基金简称</w:t>
            </w:r>
          </w:p>
        </w:tc>
        <w:tc>
          <w:tcPr>
            <w:tcW w:w="4615" w:type="dxa"/>
          </w:tcPr>
          <w:p w:rsidR="006A476A" w:rsidRDefault="00EF6E5E">
            <w:pPr>
              <w:spacing w:line="360" w:lineRule="auto"/>
              <w:rPr>
                <w:rFonts w:ascii="Times New Roman" w:hAnsi="Times New Roman" w:cs="Times New Roman"/>
                <w:sz w:val="24"/>
                <w:szCs w:val="24"/>
              </w:rPr>
            </w:pPr>
            <w:r>
              <w:rPr>
                <w:rFonts w:ascii="Times New Roman" w:hAnsiTheme="minorEastAsia" w:cs="Times New Roman" w:hint="eastAsia"/>
                <w:sz w:val="24"/>
                <w:szCs w:val="24"/>
              </w:rPr>
              <w:t>泓德</w:t>
            </w:r>
            <w:r w:rsidR="00450B3C" w:rsidRPr="00450B3C">
              <w:rPr>
                <w:rFonts w:ascii="Times New Roman" w:hAnsiTheme="minorEastAsia" w:cs="Times New Roman" w:hint="eastAsia"/>
                <w:sz w:val="24"/>
                <w:szCs w:val="24"/>
              </w:rPr>
              <w:t>研究优选</w:t>
            </w:r>
            <w:r w:rsidR="00C859CE" w:rsidRPr="00C859CE">
              <w:rPr>
                <w:rFonts w:ascii="Times New Roman" w:hAnsiTheme="minorEastAsia" w:cs="Times New Roman" w:hint="eastAsia"/>
                <w:sz w:val="24"/>
                <w:szCs w:val="24"/>
              </w:rPr>
              <w:t>混合</w:t>
            </w:r>
          </w:p>
        </w:tc>
      </w:tr>
      <w:tr w:rsidR="006A476A">
        <w:tc>
          <w:tcPr>
            <w:tcW w:w="3681" w:type="dxa"/>
            <w:gridSpan w:val="2"/>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基金主代码</w:t>
            </w:r>
          </w:p>
        </w:tc>
        <w:tc>
          <w:tcPr>
            <w:tcW w:w="4615" w:type="dxa"/>
          </w:tcPr>
          <w:p w:rsidR="006A476A" w:rsidRDefault="00450B3C" w:rsidP="0071154B">
            <w:pPr>
              <w:spacing w:line="360" w:lineRule="auto"/>
              <w:rPr>
                <w:rFonts w:ascii="Times New Roman" w:hAnsi="Times New Roman" w:cs="Times New Roman"/>
                <w:sz w:val="24"/>
                <w:szCs w:val="24"/>
              </w:rPr>
            </w:pPr>
            <w:r>
              <w:rPr>
                <w:rFonts w:ascii="Times New Roman" w:hAnsi="Times New Roman" w:cs="Times New Roman"/>
                <w:sz w:val="24"/>
                <w:szCs w:val="24"/>
              </w:rPr>
              <w:t>006608</w:t>
            </w:r>
          </w:p>
        </w:tc>
      </w:tr>
      <w:tr w:rsidR="006A476A">
        <w:tc>
          <w:tcPr>
            <w:tcW w:w="3681" w:type="dxa"/>
            <w:gridSpan w:val="2"/>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基金合同生效日</w:t>
            </w:r>
          </w:p>
        </w:tc>
        <w:tc>
          <w:tcPr>
            <w:tcW w:w="4615" w:type="dxa"/>
          </w:tcPr>
          <w:p w:rsidR="006A476A" w:rsidRDefault="00450B3C" w:rsidP="00505C3C">
            <w:pPr>
              <w:spacing w:line="360" w:lineRule="auto"/>
              <w:rPr>
                <w:rFonts w:ascii="Times New Roman" w:hAnsi="Times New Roman" w:cs="Times New Roman"/>
                <w:sz w:val="24"/>
                <w:szCs w:val="24"/>
              </w:rPr>
            </w:pPr>
            <w:r w:rsidRPr="00450B3C">
              <w:rPr>
                <w:rFonts w:ascii="Times New Roman" w:hAnsi="Times New Roman" w:cs="Times New Roman" w:hint="eastAsia"/>
                <w:sz w:val="24"/>
                <w:szCs w:val="24"/>
              </w:rPr>
              <w:t>2019</w:t>
            </w:r>
            <w:r w:rsidRPr="00450B3C">
              <w:rPr>
                <w:rFonts w:ascii="Times New Roman" w:hAnsi="Times New Roman" w:cs="Times New Roman" w:hint="eastAsia"/>
                <w:sz w:val="24"/>
                <w:szCs w:val="24"/>
              </w:rPr>
              <w:t>年</w:t>
            </w:r>
            <w:r w:rsidRPr="00450B3C">
              <w:rPr>
                <w:rFonts w:ascii="Times New Roman" w:hAnsi="Times New Roman" w:cs="Times New Roman" w:hint="eastAsia"/>
                <w:sz w:val="24"/>
                <w:szCs w:val="24"/>
              </w:rPr>
              <w:t>5</w:t>
            </w:r>
            <w:r w:rsidRPr="00450B3C">
              <w:rPr>
                <w:rFonts w:ascii="Times New Roman" w:hAnsi="Times New Roman" w:cs="Times New Roman" w:hint="eastAsia"/>
                <w:sz w:val="24"/>
                <w:szCs w:val="24"/>
              </w:rPr>
              <w:t>月</w:t>
            </w:r>
            <w:r w:rsidRPr="00450B3C">
              <w:rPr>
                <w:rFonts w:ascii="Times New Roman" w:hAnsi="Times New Roman" w:cs="Times New Roman" w:hint="eastAsia"/>
                <w:sz w:val="24"/>
                <w:szCs w:val="24"/>
              </w:rPr>
              <w:t>27</w:t>
            </w:r>
            <w:r w:rsidRPr="00450B3C">
              <w:rPr>
                <w:rFonts w:ascii="Times New Roman" w:hAnsi="Times New Roman" w:cs="Times New Roman" w:hint="eastAsia"/>
                <w:sz w:val="24"/>
                <w:szCs w:val="24"/>
              </w:rPr>
              <w:t>日</w:t>
            </w:r>
          </w:p>
        </w:tc>
      </w:tr>
      <w:tr w:rsidR="006A476A">
        <w:tc>
          <w:tcPr>
            <w:tcW w:w="3681" w:type="dxa"/>
            <w:gridSpan w:val="2"/>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基金管理人名称</w:t>
            </w:r>
          </w:p>
        </w:tc>
        <w:tc>
          <w:tcPr>
            <w:tcW w:w="4615" w:type="dxa"/>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泓德基金管理有限公司</w:t>
            </w:r>
          </w:p>
        </w:tc>
      </w:tr>
      <w:tr w:rsidR="006A476A">
        <w:tc>
          <w:tcPr>
            <w:tcW w:w="3681" w:type="dxa"/>
            <w:gridSpan w:val="2"/>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基金托管人名称</w:t>
            </w:r>
          </w:p>
        </w:tc>
        <w:tc>
          <w:tcPr>
            <w:tcW w:w="4615" w:type="dxa"/>
          </w:tcPr>
          <w:p w:rsidR="006A476A" w:rsidRDefault="00450B3C">
            <w:pPr>
              <w:spacing w:line="360" w:lineRule="auto"/>
              <w:rPr>
                <w:rFonts w:ascii="Times New Roman" w:hAnsi="Times New Roman" w:cs="Times New Roman"/>
                <w:sz w:val="24"/>
                <w:szCs w:val="24"/>
              </w:rPr>
            </w:pPr>
            <w:r w:rsidRPr="00450B3C">
              <w:rPr>
                <w:rFonts w:ascii="Times New Roman" w:hAnsiTheme="minorEastAsia" w:cs="Times New Roman" w:hint="eastAsia"/>
                <w:sz w:val="24"/>
                <w:szCs w:val="24"/>
              </w:rPr>
              <w:t>中国工商银行股份有限公司</w:t>
            </w:r>
          </w:p>
        </w:tc>
      </w:tr>
      <w:tr w:rsidR="006A476A">
        <w:tc>
          <w:tcPr>
            <w:tcW w:w="3681" w:type="dxa"/>
            <w:gridSpan w:val="2"/>
            <w:vAlign w:val="center"/>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公告依据</w:t>
            </w:r>
          </w:p>
        </w:tc>
        <w:tc>
          <w:tcPr>
            <w:tcW w:w="4615" w:type="dxa"/>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《中华人民共和国证券投资基金法》、《公开募集证券投资基金运作管理办法》、《公开募集证券投资基金信息披露管理办法》等法律法规有关规定及《</w:t>
            </w:r>
            <w:r w:rsidR="00450B3C" w:rsidRPr="00450B3C">
              <w:rPr>
                <w:rFonts w:ascii="Times New Roman" w:hAnsiTheme="minorEastAsia" w:cs="Times New Roman" w:hint="eastAsia"/>
                <w:sz w:val="24"/>
                <w:szCs w:val="24"/>
              </w:rPr>
              <w:t>泓德研究优选混合型证券投资基金</w:t>
            </w:r>
            <w:r>
              <w:rPr>
                <w:rFonts w:ascii="Times New Roman" w:hAnsiTheme="minorEastAsia" w:cs="Times New Roman"/>
                <w:sz w:val="24"/>
                <w:szCs w:val="24"/>
              </w:rPr>
              <w:t>基金合同》、《</w:t>
            </w:r>
            <w:r w:rsidR="00450B3C" w:rsidRPr="00450B3C">
              <w:rPr>
                <w:rFonts w:ascii="Times New Roman" w:hAnsiTheme="minorEastAsia" w:cs="Times New Roman" w:hint="eastAsia"/>
                <w:sz w:val="24"/>
                <w:szCs w:val="24"/>
              </w:rPr>
              <w:t>泓德研究优选混合型证券投资基金</w:t>
            </w:r>
            <w:r>
              <w:rPr>
                <w:rFonts w:ascii="Times New Roman" w:hAnsiTheme="minorEastAsia" w:cs="Times New Roman"/>
                <w:sz w:val="24"/>
                <w:szCs w:val="24"/>
              </w:rPr>
              <w:t>招募说明书》的约定</w:t>
            </w:r>
          </w:p>
        </w:tc>
      </w:tr>
      <w:tr w:rsidR="006A476A">
        <w:tc>
          <w:tcPr>
            <w:tcW w:w="3681" w:type="dxa"/>
            <w:gridSpan w:val="2"/>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收益分配基准日</w:t>
            </w:r>
          </w:p>
        </w:tc>
        <w:tc>
          <w:tcPr>
            <w:tcW w:w="4615" w:type="dxa"/>
          </w:tcPr>
          <w:p w:rsidR="006A476A" w:rsidRDefault="00450B3C" w:rsidP="0071154B">
            <w:pPr>
              <w:spacing w:line="360" w:lineRule="auto"/>
              <w:rPr>
                <w:rFonts w:ascii="Times New Roman" w:hAnsi="Times New Roman" w:cs="Times New Roman"/>
                <w:sz w:val="24"/>
                <w:szCs w:val="24"/>
              </w:rPr>
            </w:pPr>
            <w:r>
              <w:rPr>
                <w:rFonts w:ascii="Times New Roman" w:hAnsi="Times New Roman" w:cs="Times New Roman" w:hint="eastAsia"/>
                <w:sz w:val="24"/>
                <w:szCs w:val="24"/>
              </w:rPr>
              <w:t>20</w:t>
            </w:r>
            <w:r>
              <w:rPr>
                <w:rFonts w:ascii="Times New Roman" w:hAnsi="Times New Roman" w:cs="Times New Roman"/>
                <w:sz w:val="24"/>
                <w:szCs w:val="24"/>
              </w:rPr>
              <w:t>23</w:t>
            </w:r>
            <w:r w:rsidR="00EF6E5E">
              <w:rPr>
                <w:rFonts w:ascii="Times New Roman" w:hAnsi="Times New Roman" w:cs="Times New Roman" w:hint="eastAsia"/>
                <w:sz w:val="24"/>
                <w:szCs w:val="24"/>
              </w:rPr>
              <w:t>年</w:t>
            </w:r>
            <w:r w:rsidR="00C859CE">
              <w:rPr>
                <w:rFonts w:ascii="Times New Roman" w:hAnsi="Times New Roman" w:cs="Times New Roman"/>
                <w:sz w:val="24"/>
                <w:szCs w:val="24"/>
              </w:rPr>
              <w:t>12</w:t>
            </w:r>
            <w:r w:rsidR="00EF6E5E">
              <w:rPr>
                <w:rFonts w:ascii="Times New Roman" w:hAnsi="Times New Roman" w:cs="Times New Roman" w:hint="eastAsia"/>
                <w:sz w:val="24"/>
                <w:szCs w:val="24"/>
              </w:rPr>
              <w:t>月</w:t>
            </w:r>
            <w:r>
              <w:rPr>
                <w:rFonts w:ascii="Times New Roman" w:hAnsi="Times New Roman" w:cs="Times New Roman"/>
                <w:sz w:val="24"/>
                <w:szCs w:val="24"/>
              </w:rPr>
              <w:t>8</w:t>
            </w:r>
            <w:r w:rsidR="00EF6E5E">
              <w:rPr>
                <w:rFonts w:ascii="Times New Roman" w:hAnsi="Times New Roman" w:cs="Times New Roman" w:hint="eastAsia"/>
                <w:sz w:val="24"/>
                <w:szCs w:val="24"/>
              </w:rPr>
              <w:t>日</w:t>
            </w:r>
          </w:p>
        </w:tc>
      </w:tr>
      <w:tr w:rsidR="006A476A">
        <w:tc>
          <w:tcPr>
            <w:tcW w:w="1211" w:type="dxa"/>
            <w:vMerge w:val="restart"/>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截止收益分配基准日的相关指标</w:t>
            </w:r>
          </w:p>
        </w:tc>
        <w:tc>
          <w:tcPr>
            <w:tcW w:w="2470" w:type="dxa"/>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基准日基金份额净值</w:t>
            </w:r>
          </w:p>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（单位：人民币元）</w:t>
            </w:r>
          </w:p>
        </w:tc>
        <w:tc>
          <w:tcPr>
            <w:tcW w:w="4615" w:type="dxa"/>
            <w:vAlign w:val="center"/>
          </w:tcPr>
          <w:p w:rsidR="006A476A" w:rsidRDefault="0071154B" w:rsidP="00543E4E">
            <w:pPr>
              <w:spacing w:line="360" w:lineRule="auto"/>
              <w:rPr>
                <w:rFonts w:ascii="Times New Roman" w:hAnsi="Times New Roman" w:cs="Times New Roman"/>
                <w:sz w:val="24"/>
                <w:szCs w:val="24"/>
              </w:rPr>
            </w:pPr>
            <w:r>
              <w:rPr>
                <w:rFonts w:ascii="Times New Roman" w:hAnsi="Times New Roman" w:cs="Times New Roman"/>
                <w:sz w:val="24"/>
                <w:szCs w:val="24"/>
              </w:rPr>
              <w:t>1.4115</w:t>
            </w:r>
          </w:p>
        </w:tc>
      </w:tr>
      <w:tr w:rsidR="006A476A">
        <w:tc>
          <w:tcPr>
            <w:tcW w:w="1211" w:type="dxa"/>
            <w:vMerge/>
          </w:tcPr>
          <w:p w:rsidR="006A476A" w:rsidRDefault="006A476A">
            <w:pPr>
              <w:spacing w:line="360" w:lineRule="auto"/>
              <w:rPr>
                <w:rFonts w:ascii="Times New Roman" w:hAnsi="Times New Roman" w:cs="Times New Roman"/>
                <w:sz w:val="24"/>
                <w:szCs w:val="24"/>
              </w:rPr>
            </w:pPr>
          </w:p>
        </w:tc>
        <w:tc>
          <w:tcPr>
            <w:tcW w:w="2470" w:type="dxa"/>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基准日可供分配利润</w:t>
            </w:r>
          </w:p>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（单位：人民币元）</w:t>
            </w:r>
          </w:p>
        </w:tc>
        <w:tc>
          <w:tcPr>
            <w:tcW w:w="4615" w:type="dxa"/>
            <w:vAlign w:val="center"/>
          </w:tcPr>
          <w:p w:rsidR="006A476A" w:rsidRDefault="00C859CE" w:rsidP="00543E4E">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w:t>
            </w:r>
            <w:r w:rsidR="0071154B">
              <w:rPr>
                <w:rFonts w:ascii="Times New Roman" w:hAnsi="Times New Roman" w:cs="Times New Roman"/>
                <w:sz w:val="24"/>
                <w:szCs w:val="24"/>
              </w:rPr>
              <w:t>161</w:t>
            </w:r>
            <w:r>
              <w:rPr>
                <w:rFonts w:ascii="Times New Roman" w:hAnsi="Times New Roman" w:cs="Times New Roman"/>
                <w:sz w:val="24"/>
                <w:szCs w:val="24"/>
              </w:rPr>
              <w:t>,</w:t>
            </w:r>
            <w:r w:rsidR="0071154B">
              <w:rPr>
                <w:rFonts w:ascii="Times New Roman" w:hAnsi="Times New Roman" w:cs="Times New Roman"/>
                <w:sz w:val="24"/>
                <w:szCs w:val="24"/>
              </w:rPr>
              <w:t>855</w:t>
            </w:r>
            <w:r>
              <w:rPr>
                <w:rFonts w:ascii="Times New Roman" w:hAnsi="Times New Roman" w:cs="Times New Roman"/>
                <w:sz w:val="24"/>
                <w:szCs w:val="24"/>
              </w:rPr>
              <w:t>,</w:t>
            </w:r>
            <w:r w:rsidR="0071154B">
              <w:rPr>
                <w:rFonts w:ascii="Times New Roman" w:hAnsi="Times New Roman" w:cs="Times New Roman"/>
                <w:sz w:val="24"/>
                <w:szCs w:val="24"/>
              </w:rPr>
              <w:t>996</w:t>
            </w:r>
            <w:r>
              <w:rPr>
                <w:rFonts w:ascii="Times New Roman" w:hAnsi="Times New Roman" w:cs="Times New Roman"/>
                <w:sz w:val="24"/>
                <w:szCs w:val="24"/>
              </w:rPr>
              <w:t>.</w:t>
            </w:r>
            <w:r w:rsidR="0071154B">
              <w:rPr>
                <w:rFonts w:ascii="Times New Roman" w:hAnsi="Times New Roman" w:cs="Times New Roman"/>
                <w:sz w:val="24"/>
                <w:szCs w:val="24"/>
              </w:rPr>
              <w:t>65</w:t>
            </w:r>
          </w:p>
        </w:tc>
      </w:tr>
      <w:tr w:rsidR="006A476A">
        <w:tc>
          <w:tcPr>
            <w:tcW w:w="3681" w:type="dxa"/>
            <w:gridSpan w:val="2"/>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本次基金分红方案（单位：元</w:t>
            </w:r>
            <w:r>
              <w:rPr>
                <w:rFonts w:ascii="Times New Roman" w:hAnsi="Times New Roman" w:cs="Times New Roman"/>
                <w:sz w:val="24"/>
                <w:szCs w:val="24"/>
              </w:rPr>
              <w:t>/10</w:t>
            </w:r>
            <w:r>
              <w:rPr>
                <w:rFonts w:ascii="Times New Roman" w:hAnsiTheme="minorEastAsia" w:cs="Times New Roman"/>
                <w:sz w:val="24"/>
                <w:szCs w:val="24"/>
              </w:rPr>
              <w:t>份基金份额）</w:t>
            </w:r>
          </w:p>
        </w:tc>
        <w:tc>
          <w:tcPr>
            <w:tcW w:w="4615" w:type="dxa"/>
            <w:vAlign w:val="center"/>
          </w:tcPr>
          <w:p w:rsidR="006A476A" w:rsidRDefault="0071154B" w:rsidP="00543E4E">
            <w:pPr>
              <w:spacing w:line="360" w:lineRule="auto"/>
              <w:rPr>
                <w:rFonts w:ascii="Times New Roman" w:hAnsi="Times New Roman" w:cs="Times New Roman"/>
                <w:sz w:val="24"/>
                <w:szCs w:val="24"/>
              </w:rPr>
            </w:pPr>
            <w:r>
              <w:rPr>
                <w:rFonts w:ascii="Times New Roman" w:hAnsi="Times New Roman" w:cs="Times New Roman"/>
                <w:sz w:val="24"/>
                <w:szCs w:val="24"/>
              </w:rPr>
              <w:t>2</w:t>
            </w:r>
            <w:r w:rsidR="00C859CE">
              <w:rPr>
                <w:rFonts w:ascii="Times New Roman" w:hAnsi="Times New Roman" w:cs="Times New Roman"/>
                <w:sz w:val="24"/>
                <w:szCs w:val="24"/>
              </w:rPr>
              <w:t>.</w:t>
            </w:r>
            <w:r>
              <w:rPr>
                <w:rFonts w:ascii="Times New Roman" w:hAnsi="Times New Roman" w:cs="Times New Roman"/>
                <w:sz w:val="24"/>
                <w:szCs w:val="24"/>
              </w:rPr>
              <w:t>80</w:t>
            </w:r>
            <w:r>
              <w:rPr>
                <w:rFonts w:ascii="Times New Roman" w:hAnsi="Times New Roman" w:cs="Times New Roman" w:hint="eastAsia"/>
                <w:sz w:val="24"/>
                <w:szCs w:val="24"/>
              </w:rPr>
              <w:t>0</w:t>
            </w:r>
          </w:p>
        </w:tc>
      </w:tr>
      <w:tr w:rsidR="006A476A">
        <w:tc>
          <w:tcPr>
            <w:tcW w:w="3681" w:type="dxa"/>
            <w:gridSpan w:val="2"/>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有关年度分红次数的说明</w:t>
            </w:r>
          </w:p>
        </w:tc>
        <w:tc>
          <w:tcPr>
            <w:tcW w:w="4615" w:type="dxa"/>
            <w:vAlign w:val="center"/>
          </w:tcPr>
          <w:p w:rsidR="006A476A" w:rsidRDefault="00EF6E5E" w:rsidP="00543E4E">
            <w:pPr>
              <w:spacing w:line="360" w:lineRule="auto"/>
              <w:rPr>
                <w:rFonts w:ascii="Times New Roman" w:hAnsi="Times New Roman" w:cs="Times New Roman"/>
                <w:sz w:val="24"/>
                <w:szCs w:val="24"/>
              </w:rPr>
            </w:pPr>
            <w:r>
              <w:rPr>
                <w:rFonts w:ascii="Times New Roman" w:hAnsiTheme="minorEastAsia" w:cs="Times New Roman"/>
                <w:sz w:val="24"/>
                <w:szCs w:val="24"/>
              </w:rPr>
              <w:t>本次分红为</w:t>
            </w:r>
            <w:r w:rsidR="0071154B">
              <w:rPr>
                <w:rFonts w:ascii="Times New Roman" w:hAnsi="Times New Roman" w:cs="Times New Roman"/>
                <w:sz w:val="24"/>
                <w:szCs w:val="24"/>
              </w:rPr>
              <w:t>2023</w:t>
            </w:r>
            <w:r>
              <w:rPr>
                <w:rFonts w:ascii="Times New Roman" w:hAnsiTheme="minorEastAsia" w:cs="Times New Roman"/>
                <w:sz w:val="24"/>
                <w:szCs w:val="24"/>
              </w:rPr>
              <w:t>年度的第一次分红</w:t>
            </w:r>
          </w:p>
        </w:tc>
      </w:tr>
    </w:tbl>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注：根据本基金基金合同规定：</w:t>
      </w:r>
    </w:p>
    <w:p w:rsidR="007C006F" w:rsidRPr="00BB187A" w:rsidRDefault="007C006F" w:rsidP="00543E4E">
      <w:pPr>
        <w:pStyle w:val="a6"/>
        <w:numPr>
          <w:ilvl w:val="0"/>
          <w:numId w:val="1"/>
        </w:numPr>
        <w:spacing w:line="360" w:lineRule="auto"/>
        <w:ind w:firstLineChars="0"/>
        <w:rPr>
          <w:rFonts w:ascii="Times New Roman" w:hAnsiTheme="minorEastAsia" w:cs="Times New Roman"/>
          <w:sz w:val="24"/>
          <w:szCs w:val="24"/>
        </w:rPr>
      </w:pPr>
      <w:r w:rsidRPr="007C006F">
        <w:rPr>
          <w:rFonts w:ascii="Times New Roman" w:hAnsiTheme="minorEastAsia" w:cs="Times New Roman" w:hint="eastAsia"/>
          <w:sz w:val="24"/>
          <w:szCs w:val="24"/>
        </w:rPr>
        <w:t>在符合有关基金分红条件的前提下，</w:t>
      </w:r>
      <w:r w:rsidR="0071154B" w:rsidRPr="0071154B">
        <w:rPr>
          <w:rFonts w:ascii="Times New Roman" w:hAnsiTheme="minorEastAsia" w:cs="Times New Roman" w:hint="eastAsia"/>
          <w:sz w:val="24"/>
          <w:szCs w:val="24"/>
        </w:rPr>
        <w:t>基金管理人可以根据实际情况进行</w:t>
      </w:r>
      <w:r w:rsidR="0071154B" w:rsidRPr="00BB187A">
        <w:rPr>
          <w:rFonts w:ascii="Times New Roman" w:hAnsiTheme="minorEastAsia" w:cs="Times New Roman" w:hint="eastAsia"/>
          <w:sz w:val="24"/>
          <w:szCs w:val="24"/>
        </w:rPr>
        <w:t>收益分配，具体分配方案以公告为准，若基金合同生效不满</w:t>
      </w:r>
      <w:r w:rsidR="0096093D" w:rsidRPr="00BB187A">
        <w:rPr>
          <w:rFonts w:ascii="Times New Roman" w:hAnsiTheme="minorEastAsia" w:cs="Times New Roman" w:hint="eastAsia"/>
          <w:sz w:val="24"/>
          <w:szCs w:val="24"/>
        </w:rPr>
        <w:t>3</w:t>
      </w:r>
      <w:r w:rsidR="0071154B" w:rsidRPr="00BB187A">
        <w:rPr>
          <w:rFonts w:ascii="Times New Roman" w:hAnsiTheme="minorEastAsia" w:cs="Times New Roman" w:hint="eastAsia"/>
          <w:sz w:val="24"/>
          <w:szCs w:val="24"/>
        </w:rPr>
        <w:t>个月可不进行收益分配；</w:t>
      </w:r>
      <w:bookmarkStart w:id="0" w:name="_GoBack"/>
      <w:bookmarkEnd w:id="0"/>
    </w:p>
    <w:p w:rsidR="006A476A" w:rsidRPr="007C006F" w:rsidRDefault="00EF6E5E" w:rsidP="004543A6">
      <w:pPr>
        <w:pStyle w:val="a6"/>
        <w:numPr>
          <w:ilvl w:val="0"/>
          <w:numId w:val="1"/>
        </w:numPr>
        <w:spacing w:line="360" w:lineRule="auto"/>
        <w:ind w:firstLineChars="0"/>
        <w:rPr>
          <w:rFonts w:ascii="Times New Roman" w:hAnsi="Times New Roman" w:cs="Times New Roman"/>
          <w:sz w:val="24"/>
          <w:szCs w:val="24"/>
        </w:rPr>
      </w:pPr>
      <w:r w:rsidRPr="007C006F">
        <w:rPr>
          <w:rFonts w:ascii="Times New Roman" w:hAnsiTheme="minorEastAsia" w:cs="Times New Roman"/>
          <w:sz w:val="24"/>
          <w:szCs w:val="24"/>
        </w:rPr>
        <w:t>本基金收益分配方式分两种：现金分红与红利再投资，投资者可选择现金红</w:t>
      </w:r>
      <w:r w:rsidRPr="007C006F">
        <w:rPr>
          <w:rFonts w:ascii="Times New Roman" w:hAnsiTheme="minorEastAsia" w:cs="Times New Roman"/>
          <w:sz w:val="24"/>
          <w:szCs w:val="24"/>
        </w:rPr>
        <w:lastRenderedPageBreak/>
        <w:t>利或将现金红利自动转为基金份额进行再投资；若投资者不选择，本基金默认的收益分配方式是现金分红；</w:t>
      </w:r>
    </w:p>
    <w:p w:rsidR="006A476A" w:rsidRDefault="00EF6E5E">
      <w:pPr>
        <w:pStyle w:val="a6"/>
        <w:numPr>
          <w:ilvl w:val="0"/>
          <w:numId w:val="1"/>
        </w:numPr>
        <w:spacing w:line="360" w:lineRule="auto"/>
        <w:ind w:firstLineChars="0"/>
        <w:rPr>
          <w:rFonts w:ascii="Times New Roman" w:hAnsi="Times New Roman" w:cs="Times New Roman"/>
          <w:sz w:val="24"/>
          <w:szCs w:val="24"/>
        </w:rPr>
      </w:pPr>
      <w:r>
        <w:rPr>
          <w:rFonts w:ascii="Times New Roman" w:hAnsiTheme="minorEastAsia" w:cs="Times New Roman"/>
          <w:sz w:val="24"/>
          <w:szCs w:val="24"/>
        </w:rPr>
        <w:t>基金收益分配后基金份额净值不能低于面值；即基金收益分配基准日的基金份额净值减去每单位基金份额收益分配金额后不能低于面值；</w:t>
      </w:r>
    </w:p>
    <w:p w:rsidR="006A476A" w:rsidRPr="00C859CE" w:rsidRDefault="00C859CE">
      <w:pPr>
        <w:pStyle w:val="a6"/>
        <w:numPr>
          <w:ilvl w:val="0"/>
          <w:numId w:val="1"/>
        </w:numPr>
        <w:spacing w:line="360" w:lineRule="auto"/>
        <w:ind w:firstLineChars="0"/>
        <w:rPr>
          <w:rFonts w:ascii="Times New Roman" w:hAnsi="Times New Roman" w:cs="Times New Roman"/>
          <w:sz w:val="24"/>
          <w:szCs w:val="24"/>
        </w:rPr>
      </w:pPr>
      <w:r>
        <w:rPr>
          <w:rFonts w:ascii="Times New Roman" w:hAnsiTheme="minorEastAsia" w:cs="Times New Roman"/>
          <w:sz w:val="24"/>
          <w:szCs w:val="24"/>
        </w:rPr>
        <w:t>每一基金份额享有同等分配权</w:t>
      </w:r>
      <w:r>
        <w:rPr>
          <w:rFonts w:ascii="Times New Roman" w:hAnsiTheme="minorEastAsia" w:cs="Times New Roman" w:hint="eastAsia"/>
          <w:sz w:val="24"/>
          <w:szCs w:val="24"/>
        </w:rPr>
        <w:t>；</w:t>
      </w:r>
    </w:p>
    <w:p w:rsidR="00C859CE" w:rsidRDefault="00C859CE" w:rsidP="00C859CE">
      <w:pPr>
        <w:pStyle w:val="a6"/>
        <w:numPr>
          <w:ilvl w:val="0"/>
          <w:numId w:val="1"/>
        </w:numPr>
        <w:spacing w:line="360" w:lineRule="auto"/>
        <w:ind w:firstLineChars="0"/>
        <w:rPr>
          <w:rFonts w:ascii="Times New Roman" w:hAnsi="Times New Roman" w:cs="Times New Roman"/>
          <w:sz w:val="24"/>
          <w:szCs w:val="24"/>
        </w:rPr>
      </w:pPr>
      <w:r w:rsidRPr="00C859CE">
        <w:rPr>
          <w:rFonts w:ascii="Times New Roman" w:hAnsi="Times New Roman" w:cs="Times New Roman" w:hint="eastAsia"/>
          <w:sz w:val="24"/>
          <w:szCs w:val="24"/>
        </w:rPr>
        <w:t>法律法规或监管机关另有规定的，从其规定。</w:t>
      </w:r>
    </w:p>
    <w:p w:rsidR="006A476A" w:rsidRDefault="006A476A">
      <w:pPr>
        <w:spacing w:line="360" w:lineRule="auto"/>
        <w:rPr>
          <w:rFonts w:ascii="Times New Roman" w:hAnsi="Times New Roman" w:cs="Times New Roman"/>
          <w:sz w:val="24"/>
          <w:szCs w:val="24"/>
        </w:rPr>
      </w:pPr>
    </w:p>
    <w:p w:rsidR="006A476A" w:rsidRDefault="00EF6E5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heme="minorEastAsia" w:cs="Times New Roman"/>
          <w:b/>
          <w:sz w:val="24"/>
          <w:szCs w:val="24"/>
        </w:rPr>
        <w:t>与分红相关的其他信息</w:t>
      </w:r>
    </w:p>
    <w:tbl>
      <w:tblPr>
        <w:tblStyle w:val="a5"/>
        <w:tblW w:w="0" w:type="auto"/>
        <w:tblLook w:val="04A0"/>
      </w:tblPr>
      <w:tblGrid>
        <w:gridCol w:w="2518"/>
        <w:gridCol w:w="6004"/>
      </w:tblGrid>
      <w:tr w:rsidR="006A476A">
        <w:tc>
          <w:tcPr>
            <w:tcW w:w="2518" w:type="dxa"/>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权益登记日</w:t>
            </w:r>
          </w:p>
        </w:tc>
        <w:tc>
          <w:tcPr>
            <w:tcW w:w="6004" w:type="dxa"/>
          </w:tcPr>
          <w:p w:rsidR="006A476A" w:rsidRDefault="00543E4E" w:rsidP="00543E4E">
            <w:pPr>
              <w:spacing w:line="360" w:lineRule="auto"/>
              <w:rPr>
                <w:rFonts w:ascii="Times New Roman" w:hAnsi="Times New Roman" w:cs="Times New Roman"/>
                <w:sz w:val="24"/>
                <w:szCs w:val="24"/>
              </w:rPr>
            </w:pPr>
            <w:r>
              <w:rPr>
                <w:rFonts w:ascii="Times New Roman" w:hAnsi="Times New Roman" w:cs="Times New Roman"/>
                <w:sz w:val="24"/>
                <w:szCs w:val="24"/>
              </w:rPr>
              <w:t>2023</w:t>
            </w:r>
            <w:r w:rsidR="00EF6E5E">
              <w:rPr>
                <w:rFonts w:ascii="Times New Roman" w:hAnsiTheme="minorEastAsia" w:cs="Times New Roman"/>
                <w:sz w:val="24"/>
                <w:szCs w:val="24"/>
              </w:rPr>
              <w:t>年</w:t>
            </w:r>
            <w:r w:rsidR="002111AC">
              <w:rPr>
                <w:rFonts w:ascii="Times New Roman" w:hAnsi="Times New Roman" w:cs="Times New Roman"/>
                <w:sz w:val="24"/>
                <w:szCs w:val="24"/>
              </w:rPr>
              <w:t>12</w:t>
            </w:r>
            <w:r w:rsidR="00EF6E5E">
              <w:rPr>
                <w:rFonts w:ascii="Times New Roman" w:hAnsiTheme="minorEastAsia" w:cs="Times New Roman"/>
                <w:sz w:val="24"/>
                <w:szCs w:val="24"/>
              </w:rPr>
              <w:t>月</w:t>
            </w:r>
            <w:r>
              <w:rPr>
                <w:rFonts w:ascii="Times New Roman" w:hAnsi="Times New Roman" w:cs="Times New Roman"/>
                <w:sz w:val="24"/>
                <w:szCs w:val="24"/>
              </w:rPr>
              <w:t>19</w:t>
            </w:r>
            <w:r w:rsidR="00EF6E5E">
              <w:rPr>
                <w:rFonts w:ascii="Times New Roman" w:hAnsiTheme="minorEastAsia" w:cs="Times New Roman"/>
                <w:sz w:val="24"/>
                <w:szCs w:val="24"/>
              </w:rPr>
              <w:t>日</w:t>
            </w:r>
          </w:p>
        </w:tc>
      </w:tr>
      <w:tr w:rsidR="006A476A">
        <w:tc>
          <w:tcPr>
            <w:tcW w:w="2518" w:type="dxa"/>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除息日</w:t>
            </w:r>
          </w:p>
        </w:tc>
        <w:tc>
          <w:tcPr>
            <w:tcW w:w="6004" w:type="dxa"/>
          </w:tcPr>
          <w:p w:rsidR="006A476A" w:rsidRDefault="00543E4E" w:rsidP="00543E4E">
            <w:pPr>
              <w:spacing w:line="360" w:lineRule="auto"/>
              <w:rPr>
                <w:rFonts w:ascii="Times New Roman" w:hAnsi="Times New Roman" w:cs="Times New Roman"/>
                <w:sz w:val="24"/>
                <w:szCs w:val="24"/>
              </w:rPr>
            </w:pPr>
            <w:r w:rsidRPr="007C006F">
              <w:rPr>
                <w:rFonts w:ascii="Times New Roman" w:hAnsi="Times New Roman" w:cs="Times New Roman"/>
                <w:sz w:val="24"/>
                <w:szCs w:val="24"/>
              </w:rPr>
              <w:t>202</w:t>
            </w:r>
            <w:r>
              <w:rPr>
                <w:rFonts w:ascii="Times New Roman" w:hAnsi="Times New Roman" w:cs="Times New Roman"/>
                <w:sz w:val="24"/>
                <w:szCs w:val="24"/>
              </w:rPr>
              <w:t>3</w:t>
            </w:r>
            <w:r w:rsidR="00EF6E5E" w:rsidRPr="007C006F">
              <w:rPr>
                <w:rFonts w:ascii="Times New Roman" w:hAnsiTheme="minorEastAsia" w:cs="Times New Roman"/>
                <w:sz w:val="24"/>
                <w:szCs w:val="24"/>
              </w:rPr>
              <w:t>年</w:t>
            </w:r>
            <w:r w:rsidR="002111AC">
              <w:rPr>
                <w:rFonts w:ascii="Times New Roman" w:hAnsi="Times New Roman" w:cs="Times New Roman"/>
                <w:sz w:val="24"/>
                <w:szCs w:val="24"/>
              </w:rPr>
              <w:t>12</w:t>
            </w:r>
            <w:r w:rsidR="00EF6E5E" w:rsidRPr="007C006F">
              <w:rPr>
                <w:rFonts w:ascii="Times New Roman" w:hAnsiTheme="minorEastAsia" w:cs="Times New Roman"/>
                <w:sz w:val="24"/>
                <w:szCs w:val="24"/>
              </w:rPr>
              <w:t>月</w:t>
            </w:r>
            <w:r>
              <w:rPr>
                <w:rFonts w:ascii="Times New Roman" w:hAnsi="Times New Roman" w:cs="Times New Roman"/>
                <w:sz w:val="24"/>
                <w:szCs w:val="24"/>
              </w:rPr>
              <w:t>19</w:t>
            </w:r>
            <w:r w:rsidR="00EF6E5E" w:rsidRPr="007C006F">
              <w:rPr>
                <w:rFonts w:ascii="Times New Roman" w:hAnsiTheme="minorEastAsia" w:cs="Times New Roman"/>
                <w:sz w:val="24"/>
                <w:szCs w:val="24"/>
              </w:rPr>
              <w:t>日</w:t>
            </w:r>
          </w:p>
        </w:tc>
      </w:tr>
      <w:tr w:rsidR="006A476A">
        <w:tc>
          <w:tcPr>
            <w:tcW w:w="2518" w:type="dxa"/>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现金红利发放日</w:t>
            </w:r>
          </w:p>
        </w:tc>
        <w:tc>
          <w:tcPr>
            <w:tcW w:w="6004" w:type="dxa"/>
          </w:tcPr>
          <w:p w:rsidR="006A476A" w:rsidRDefault="00543E4E" w:rsidP="00543E4E">
            <w:pPr>
              <w:spacing w:line="360" w:lineRule="auto"/>
              <w:rPr>
                <w:rFonts w:ascii="Times New Roman" w:hAnsi="Times New Roman" w:cs="Times New Roman"/>
                <w:sz w:val="24"/>
                <w:szCs w:val="24"/>
              </w:rPr>
            </w:pPr>
            <w:r>
              <w:rPr>
                <w:rFonts w:ascii="Times New Roman" w:hAnsi="Times New Roman" w:cs="Times New Roman"/>
                <w:sz w:val="24"/>
                <w:szCs w:val="24"/>
              </w:rPr>
              <w:t>2023</w:t>
            </w:r>
            <w:r w:rsidR="00EF6E5E">
              <w:rPr>
                <w:rFonts w:ascii="Times New Roman" w:hAnsiTheme="minorEastAsia" w:cs="Times New Roman"/>
                <w:sz w:val="24"/>
                <w:szCs w:val="24"/>
              </w:rPr>
              <w:t>年</w:t>
            </w:r>
            <w:r w:rsidR="002111AC">
              <w:rPr>
                <w:rFonts w:ascii="Times New Roman" w:hAnsi="Times New Roman" w:cs="Times New Roman"/>
                <w:sz w:val="24"/>
                <w:szCs w:val="24"/>
              </w:rPr>
              <w:t>12</w:t>
            </w:r>
            <w:r w:rsidR="00EF6E5E">
              <w:rPr>
                <w:rFonts w:ascii="Times New Roman" w:hAnsiTheme="minorEastAsia" w:cs="Times New Roman"/>
                <w:sz w:val="24"/>
                <w:szCs w:val="24"/>
              </w:rPr>
              <w:t>月</w:t>
            </w:r>
            <w:r>
              <w:rPr>
                <w:rFonts w:ascii="Times New Roman" w:hAnsi="Times New Roman" w:cs="Times New Roman"/>
                <w:sz w:val="24"/>
                <w:szCs w:val="24"/>
              </w:rPr>
              <w:t>21</w:t>
            </w:r>
            <w:r w:rsidR="00EF6E5E">
              <w:rPr>
                <w:rFonts w:ascii="Times New Roman" w:hAnsiTheme="minorEastAsia" w:cs="Times New Roman"/>
                <w:sz w:val="24"/>
                <w:szCs w:val="24"/>
              </w:rPr>
              <w:t>日</w:t>
            </w:r>
          </w:p>
        </w:tc>
      </w:tr>
      <w:tr w:rsidR="006A476A">
        <w:tc>
          <w:tcPr>
            <w:tcW w:w="2518" w:type="dxa"/>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分红对象</w:t>
            </w:r>
          </w:p>
        </w:tc>
        <w:tc>
          <w:tcPr>
            <w:tcW w:w="6004" w:type="dxa"/>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权益登记日在本基金注册登记机构登记在册的本基金全体份额持有人</w:t>
            </w:r>
          </w:p>
        </w:tc>
      </w:tr>
      <w:tr w:rsidR="006A476A">
        <w:tc>
          <w:tcPr>
            <w:tcW w:w="2518" w:type="dxa"/>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红利再投资相关事项的说明</w:t>
            </w:r>
          </w:p>
        </w:tc>
        <w:tc>
          <w:tcPr>
            <w:tcW w:w="6004" w:type="dxa"/>
          </w:tcPr>
          <w:p w:rsidR="006A476A" w:rsidRDefault="00EF6E5E" w:rsidP="00BB187A">
            <w:pPr>
              <w:spacing w:line="360" w:lineRule="auto"/>
              <w:rPr>
                <w:rFonts w:ascii="Times New Roman" w:hAnsi="Times New Roman" w:cs="Times New Roman"/>
                <w:sz w:val="24"/>
                <w:szCs w:val="24"/>
              </w:rPr>
            </w:pPr>
            <w:r>
              <w:rPr>
                <w:rFonts w:ascii="Times New Roman" w:hAnsiTheme="minorEastAsia" w:cs="Times New Roman"/>
                <w:sz w:val="24"/>
                <w:szCs w:val="24"/>
              </w:rPr>
              <w:t>红利再投资日为</w:t>
            </w:r>
            <w:r w:rsidR="00543E4E">
              <w:rPr>
                <w:rFonts w:ascii="Times New Roman" w:hAnsi="Times New Roman" w:cs="Times New Roman"/>
                <w:sz w:val="24"/>
                <w:szCs w:val="24"/>
              </w:rPr>
              <w:t>2023</w:t>
            </w:r>
            <w:r>
              <w:rPr>
                <w:rFonts w:ascii="Times New Roman" w:hAnsiTheme="minorEastAsia" w:cs="Times New Roman"/>
                <w:sz w:val="24"/>
                <w:szCs w:val="24"/>
              </w:rPr>
              <w:t>年</w:t>
            </w:r>
            <w:r w:rsidR="00543E4E">
              <w:rPr>
                <w:rFonts w:ascii="Times New Roman" w:hAnsi="Times New Roman" w:cs="Times New Roman"/>
                <w:sz w:val="24"/>
                <w:szCs w:val="24"/>
              </w:rPr>
              <w:t>12</w:t>
            </w:r>
            <w:r w:rsidR="00543E4E" w:rsidRPr="007C006F">
              <w:rPr>
                <w:rFonts w:ascii="Times New Roman" w:hAnsiTheme="minorEastAsia" w:cs="Times New Roman"/>
                <w:sz w:val="24"/>
                <w:szCs w:val="24"/>
              </w:rPr>
              <w:t>月</w:t>
            </w:r>
            <w:r w:rsidR="00543E4E">
              <w:rPr>
                <w:rFonts w:ascii="Times New Roman" w:hAnsi="Times New Roman" w:cs="Times New Roman"/>
                <w:sz w:val="24"/>
                <w:szCs w:val="24"/>
              </w:rPr>
              <w:t>19</w:t>
            </w:r>
            <w:r w:rsidR="00543E4E" w:rsidRPr="007C006F">
              <w:rPr>
                <w:rFonts w:ascii="Times New Roman" w:hAnsiTheme="minorEastAsia" w:cs="Times New Roman"/>
                <w:sz w:val="24"/>
                <w:szCs w:val="24"/>
              </w:rPr>
              <w:t>日</w:t>
            </w:r>
            <w:r>
              <w:rPr>
                <w:rFonts w:ascii="Times New Roman" w:hAnsiTheme="minorEastAsia" w:cs="Times New Roman"/>
                <w:sz w:val="24"/>
                <w:szCs w:val="24"/>
              </w:rPr>
              <w:t>，选择红利再投资方式的投资者，其红利将按</w:t>
            </w:r>
            <w:r w:rsidR="00543E4E">
              <w:rPr>
                <w:rFonts w:ascii="Times New Roman" w:hAnsi="Times New Roman" w:cs="Times New Roman"/>
                <w:sz w:val="24"/>
                <w:szCs w:val="24"/>
              </w:rPr>
              <w:t>2023</w:t>
            </w:r>
            <w:r>
              <w:rPr>
                <w:rFonts w:ascii="Times New Roman" w:hAnsiTheme="minorEastAsia" w:cs="Times New Roman"/>
                <w:sz w:val="24"/>
                <w:szCs w:val="24"/>
              </w:rPr>
              <w:t>年</w:t>
            </w:r>
            <w:r w:rsidR="00543E4E">
              <w:rPr>
                <w:rFonts w:ascii="Times New Roman" w:hAnsi="Times New Roman" w:cs="Times New Roman"/>
                <w:sz w:val="24"/>
                <w:szCs w:val="24"/>
              </w:rPr>
              <w:t>12</w:t>
            </w:r>
            <w:r w:rsidR="00543E4E" w:rsidRPr="007C006F">
              <w:rPr>
                <w:rFonts w:ascii="Times New Roman" w:hAnsiTheme="minorEastAsia" w:cs="Times New Roman"/>
                <w:sz w:val="24"/>
                <w:szCs w:val="24"/>
              </w:rPr>
              <w:t>月</w:t>
            </w:r>
            <w:r w:rsidR="00543E4E">
              <w:rPr>
                <w:rFonts w:ascii="Times New Roman" w:hAnsi="Times New Roman" w:cs="Times New Roman"/>
                <w:sz w:val="24"/>
                <w:szCs w:val="24"/>
              </w:rPr>
              <w:t>19</w:t>
            </w:r>
            <w:r w:rsidR="00543E4E" w:rsidRPr="007C006F">
              <w:rPr>
                <w:rFonts w:ascii="Times New Roman" w:hAnsiTheme="minorEastAsia" w:cs="Times New Roman"/>
                <w:sz w:val="24"/>
                <w:szCs w:val="24"/>
              </w:rPr>
              <w:t>日</w:t>
            </w:r>
            <w:r>
              <w:rPr>
                <w:rFonts w:ascii="Times New Roman" w:hAnsiTheme="minorEastAsia" w:cs="Times New Roman"/>
                <w:sz w:val="24"/>
                <w:szCs w:val="24"/>
              </w:rPr>
              <w:t>的基金份额净值转换为基金份额，上述基金份额将于</w:t>
            </w:r>
            <w:r w:rsidR="00543E4E">
              <w:rPr>
                <w:rFonts w:ascii="Times New Roman" w:hAnsi="Times New Roman" w:cs="Times New Roman"/>
                <w:sz w:val="24"/>
                <w:szCs w:val="24"/>
              </w:rPr>
              <w:t>2023</w:t>
            </w:r>
            <w:r>
              <w:rPr>
                <w:rFonts w:ascii="Times New Roman" w:hAnsiTheme="minorEastAsia" w:cs="Times New Roman"/>
                <w:sz w:val="24"/>
                <w:szCs w:val="24"/>
              </w:rPr>
              <w:t>年</w:t>
            </w:r>
            <w:r w:rsidR="003D663A">
              <w:rPr>
                <w:rFonts w:ascii="Times New Roman" w:hAnsi="Times New Roman" w:cs="Times New Roman"/>
                <w:sz w:val="24"/>
                <w:szCs w:val="24"/>
              </w:rPr>
              <w:t>12</w:t>
            </w:r>
            <w:r w:rsidR="003D663A" w:rsidRPr="007C006F">
              <w:rPr>
                <w:rFonts w:ascii="Times New Roman" w:hAnsiTheme="minorEastAsia" w:cs="Times New Roman"/>
                <w:sz w:val="24"/>
                <w:szCs w:val="24"/>
              </w:rPr>
              <w:t>月</w:t>
            </w:r>
            <w:r w:rsidR="003D663A">
              <w:rPr>
                <w:rFonts w:ascii="Times New Roman" w:hAnsi="Times New Roman" w:cs="Times New Roman"/>
                <w:sz w:val="24"/>
                <w:szCs w:val="24"/>
              </w:rPr>
              <w:t>20</w:t>
            </w:r>
            <w:r w:rsidR="003D663A" w:rsidRPr="007C006F">
              <w:rPr>
                <w:rFonts w:ascii="Times New Roman" w:hAnsiTheme="minorEastAsia" w:cs="Times New Roman"/>
                <w:sz w:val="24"/>
                <w:szCs w:val="24"/>
              </w:rPr>
              <w:t>日</w:t>
            </w:r>
            <w:r>
              <w:rPr>
                <w:rFonts w:ascii="Times New Roman" w:hAnsiTheme="minorEastAsia" w:cs="Times New Roman"/>
                <w:sz w:val="24"/>
                <w:szCs w:val="24"/>
              </w:rPr>
              <w:t>直接计入其基金账户，</w:t>
            </w:r>
            <w:r w:rsidR="00543E4E">
              <w:rPr>
                <w:rFonts w:ascii="Times New Roman" w:hAnsi="Times New Roman" w:cs="Times New Roman"/>
                <w:sz w:val="24"/>
                <w:szCs w:val="24"/>
              </w:rPr>
              <w:t>2023</w:t>
            </w:r>
            <w:r>
              <w:rPr>
                <w:rFonts w:ascii="Times New Roman" w:hAnsiTheme="minorEastAsia" w:cs="Times New Roman"/>
                <w:sz w:val="24"/>
                <w:szCs w:val="24"/>
              </w:rPr>
              <w:t>年</w:t>
            </w:r>
            <w:r w:rsidR="003D663A">
              <w:rPr>
                <w:rFonts w:ascii="Times New Roman" w:hAnsi="Times New Roman" w:cs="Times New Roman"/>
                <w:sz w:val="24"/>
                <w:szCs w:val="24"/>
              </w:rPr>
              <w:t>12</w:t>
            </w:r>
            <w:r w:rsidR="003D663A">
              <w:rPr>
                <w:rFonts w:ascii="Times New Roman" w:hAnsiTheme="minorEastAsia" w:cs="Times New Roman"/>
                <w:sz w:val="24"/>
                <w:szCs w:val="24"/>
              </w:rPr>
              <w:t>月</w:t>
            </w:r>
            <w:r w:rsidR="003D663A">
              <w:rPr>
                <w:rFonts w:ascii="Times New Roman" w:hAnsi="Times New Roman" w:cs="Times New Roman"/>
                <w:sz w:val="24"/>
                <w:szCs w:val="24"/>
              </w:rPr>
              <w:t>21</w:t>
            </w:r>
            <w:r w:rsidR="003D663A">
              <w:rPr>
                <w:rFonts w:ascii="Times New Roman" w:hAnsiTheme="minorEastAsia" w:cs="Times New Roman"/>
                <w:sz w:val="24"/>
                <w:szCs w:val="24"/>
              </w:rPr>
              <w:t>日</w:t>
            </w:r>
            <w:r>
              <w:rPr>
                <w:rFonts w:ascii="Times New Roman" w:hAnsiTheme="minorEastAsia" w:cs="Times New Roman"/>
                <w:sz w:val="24"/>
                <w:szCs w:val="24"/>
              </w:rPr>
              <w:t>起可以查询、赎回。</w:t>
            </w:r>
          </w:p>
        </w:tc>
      </w:tr>
      <w:tr w:rsidR="006A476A">
        <w:tc>
          <w:tcPr>
            <w:tcW w:w="2518" w:type="dxa"/>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税收相关事项的说明</w:t>
            </w:r>
          </w:p>
        </w:tc>
        <w:tc>
          <w:tcPr>
            <w:tcW w:w="6004" w:type="dxa"/>
          </w:tcPr>
          <w:p w:rsidR="006A476A" w:rsidRDefault="003D663A">
            <w:pPr>
              <w:spacing w:line="360" w:lineRule="auto"/>
              <w:rPr>
                <w:rFonts w:ascii="Times New Roman" w:hAnsi="Times New Roman" w:cs="Times New Roman"/>
                <w:sz w:val="24"/>
                <w:szCs w:val="24"/>
              </w:rPr>
            </w:pPr>
            <w:r w:rsidRPr="003D663A">
              <w:rPr>
                <w:rFonts w:ascii="Times New Roman" w:hAnsiTheme="minorEastAsia" w:cs="Times New Roman" w:hint="eastAsia"/>
                <w:sz w:val="24"/>
                <w:szCs w:val="24"/>
              </w:rPr>
              <w:t>根据相关法律法规规定，基金向投资者分配的基金收益，暂不征收所得税。</w:t>
            </w:r>
          </w:p>
        </w:tc>
      </w:tr>
      <w:tr w:rsidR="006A476A">
        <w:tc>
          <w:tcPr>
            <w:tcW w:w="2518" w:type="dxa"/>
          </w:tcPr>
          <w:p w:rsidR="006A476A" w:rsidRDefault="00EF6E5E">
            <w:pPr>
              <w:spacing w:line="360" w:lineRule="auto"/>
              <w:rPr>
                <w:rFonts w:ascii="Times New Roman" w:hAnsi="Times New Roman" w:cs="Times New Roman"/>
                <w:sz w:val="24"/>
                <w:szCs w:val="24"/>
              </w:rPr>
            </w:pPr>
            <w:r>
              <w:rPr>
                <w:rFonts w:ascii="Times New Roman" w:hAnsiTheme="minorEastAsia" w:cs="Times New Roman"/>
                <w:sz w:val="24"/>
                <w:szCs w:val="24"/>
              </w:rPr>
              <w:t>费用相关事项的说明</w:t>
            </w:r>
          </w:p>
        </w:tc>
        <w:tc>
          <w:tcPr>
            <w:tcW w:w="6004" w:type="dxa"/>
          </w:tcPr>
          <w:p w:rsidR="006A476A" w:rsidRDefault="00EF6E5E">
            <w:pPr>
              <w:pStyle w:val="Default"/>
              <w:spacing w:line="360" w:lineRule="auto"/>
              <w:jc w:val="both"/>
              <w:rPr>
                <w:rFonts w:ascii="Times New Roman" w:eastAsiaTheme="minorEastAsia" w:hAnsi="Times New Roman" w:cs="Times New Roman"/>
              </w:rPr>
            </w:pPr>
            <w:r>
              <w:rPr>
                <w:rFonts w:ascii="Times New Roman" w:eastAsiaTheme="minorEastAsia" w:hAnsiTheme="minorEastAsia" w:cs="Times New Roman"/>
                <w:color w:val="auto"/>
                <w:kern w:val="2"/>
              </w:rPr>
              <w:t>本次分红免收分红手续费，选择红利再投资方式的投资者其由红利所转投的基金份额免收申购费用。</w:t>
            </w:r>
          </w:p>
        </w:tc>
      </w:tr>
    </w:tbl>
    <w:p w:rsidR="006A476A" w:rsidRDefault="006A476A">
      <w:pPr>
        <w:rPr>
          <w:rFonts w:ascii="Times New Roman" w:hAnsi="Times New Roman" w:cs="Times New Roman"/>
        </w:rPr>
      </w:pPr>
    </w:p>
    <w:p w:rsidR="006A476A" w:rsidRDefault="00EF6E5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heme="minorEastAsia" w:cs="Times New Roman"/>
          <w:b/>
          <w:sz w:val="24"/>
          <w:szCs w:val="24"/>
        </w:rPr>
        <w:t>其他需要提示的事项</w:t>
      </w:r>
    </w:p>
    <w:p w:rsidR="006A476A" w:rsidRDefault="00EF6E5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heme="minorEastAsia" w:cs="Times New Roman"/>
          <w:sz w:val="24"/>
          <w:szCs w:val="24"/>
        </w:rPr>
        <w:t>）权益登记日申请申购或转入的基金份额不享有本次分红权益，权益登记日申请赎回或转出的基金份额享有本次分红权益。</w:t>
      </w:r>
    </w:p>
    <w:p w:rsidR="006A476A" w:rsidRDefault="00EF6E5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heme="minorEastAsia" w:cs="Times New Roman"/>
          <w:sz w:val="24"/>
          <w:szCs w:val="24"/>
        </w:rPr>
        <w:t>）权益登记日申请申购或转入的金额以权益登记日除权后的基金份额净值为计算基准确定申购或转入的份额。</w:t>
      </w:r>
    </w:p>
    <w:p w:rsidR="006A476A" w:rsidRDefault="00EF6E5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heme="minorEastAsia" w:cs="Times New Roman"/>
          <w:sz w:val="24"/>
          <w:szCs w:val="24"/>
        </w:rPr>
        <w:t>）本基金收益分配方式分两种：现金分红与红利再投资，投资者可选择现金红利或将现金红利自动转为基金份额进行再投资</w:t>
      </w:r>
      <w:r>
        <w:rPr>
          <w:rFonts w:ascii="Times New Roman" w:hAnsiTheme="minorEastAsia" w:cs="Times New Roman" w:hint="eastAsia"/>
          <w:sz w:val="24"/>
          <w:szCs w:val="24"/>
        </w:rPr>
        <w:t>。</w:t>
      </w:r>
      <w:r>
        <w:rPr>
          <w:rFonts w:ascii="Times New Roman" w:hAnsiTheme="minorEastAsia" w:cs="Times New Roman"/>
          <w:sz w:val="24"/>
          <w:szCs w:val="24"/>
        </w:rPr>
        <w:t>若投资者不选择，本基金默认的收益分配方式是现金分红</w:t>
      </w:r>
      <w:r w:rsidRPr="007C006F">
        <w:rPr>
          <w:rFonts w:ascii="Times New Roman" w:hAnsiTheme="minorEastAsia" w:cs="Times New Roman" w:hint="eastAsia"/>
          <w:sz w:val="24"/>
          <w:szCs w:val="24"/>
        </w:rPr>
        <w:t>。</w:t>
      </w:r>
    </w:p>
    <w:p w:rsidR="006A476A" w:rsidRDefault="00EF6E5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投资者可以在基金开放日的交易时间内到销售网点修改分红方式，本次分红确认的方式将按照投资者在权益登记日之前（不含权益登记日）最后一次选择成功的分红方式为准。请投资者到销售网点或通过本基金管理人客户服务中心确认分红方式是否正确，如不正确或希望修改分红方式的，请务必在权益登记日之前（不含权益登记日）到销售网点办理变更手续。</w:t>
      </w:r>
    </w:p>
    <w:p w:rsidR="006A476A" w:rsidRDefault="00EF6E5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heme="minorEastAsia" w:cs="Times New Roman"/>
          <w:sz w:val="24"/>
          <w:szCs w:val="24"/>
        </w:rPr>
        <w:t>）本基金份额持有人及希望了解本基金其他有关信息的投资者，可以登录本基金管理人网站（</w:t>
      </w:r>
      <w:r>
        <w:rPr>
          <w:rFonts w:ascii="Times New Roman" w:hAnsi="Times New Roman" w:cs="Times New Roman"/>
          <w:sz w:val="24"/>
          <w:szCs w:val="24"/>
        </w:rPr>
        <w:t>www.hongdefund.com</w:t>
      </w:r>
      <w:r>
        <w:rPr>
          <w:rFonts w:ascii="Times New Roman" w:hAnsiTheme="minorEastAsia" w:cs="Times New Roman"/>
          <w:sz w:val="24"/>
          <w:szCs w:val="24"/>
        </w:rPr>
        <w:t>）或拨打全国客户服务电话（</w:t>
      </w:r>
      <w:r>
        <w:rPr>
          <w:rFonts w:ascii="Times New Roman" w:hAnsi="Times New Roman" w:cs="Times New Roman"/>
          <w:sz w:val="24"/>
          <w:szCs w:val="24"/>
        </w:rPr>
        <w:t>4009-100-888</w:t>
      </w:r>
      <w:r>
        <w:rPr>
          <w:rFonts w:ascii="Times New Roman" w:hAnsiTheme="minorEastAsia" w:cs="Times New Roman"/>
          <w:sz w:val="24"/>
          <w:szCs w:val="24"/>
        </w:rPr>
        <w:t>）咨询相关事宜。</w:t>
      </w:r>
    </w:p>
    <w:p w:rsidR="006A476A" w:rsidRDefault="006A476A">
      <w:pPr>
        <w:spacing w:line="360" w:lineRule="auto"/>
        <w:ind w:firstLineChars="200" w:firstLine="480"/>
        <w:rPr>
          <w:rFonts w:ascii="Times New Roman" w:hAnsi="Times New Roman" w:cs="Times New Roman"/>
          <w:sz w:val="24"/>
          <w:szCs w:val="24"/>
        </w:rPr>
      </w:pPr>
    </w:p>
    <w:p w:rsidR="006A476A" w:rsidRDefault="00EF6E5E">
      <w:pPr>
        <w:spacing w:line="360" w:lineRule="auto"/>
        <w:rPr>
          <w:rFonts w:ascii="Times New Roman" w:hAnsiTheme="minorEastAsia" w:cs="Times New Roman"/>
          <w:sz w:val="24"/>
          <w:szCs w:val="24"/>
        </w:rPr>
      </w:pPr>
      <w:r>
        <w:rPr>
          <w:rFonts w:ascii="Times New Roman" w:hAnsiTheme="minorEastAsia" w:cs="Times New Roman"/>
          <w:b/>
          <w:sz w:val="24"/>
          <w:szCs w:val="24"/>
        </w:rPr>
        <w:t>风险提示：</w:t>
      </w:r>
    </w:p>
    <w:p w:rsidR="006A476A" w:rsidRDefault="00EF6E5E">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基金的过往业绩并不预示其未来表现，基金管理人管理的其他基金的业绩也不构成对本基金业绩表现的保证。</w:t>
      </w:r>
    </w:p>
    <w:p w:rsidR="006A476A" w:rsidRDefault="00EF6E5E">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基金管理人承诺以诚实信用、勤勉尽责的原则管理和运用基金财产，但投资有风险，基金管理人不保证本基金一定盈利，也不保证最低收益。</w:t>
      </w:r>
    </w:p>
    <w:p w:rsidR="006A476A" w:rsidRDefault="00EF6E5E">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投资有风险，敬请投资人认真阅读基金的相关法律文件并关注基金特有风险，如实填写或更新个人信息并核对自身的风险承受能力，选择适合自身风险承受能力的投资品种进行投资。</w:t>
      </w:r>
    </w:p>
    <w:p w:rsidR="006A476A" w:rsidRDefault="00EF6E5E">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本基金管理人提醒投资者基金投资的“买者自负”原则，在做出投资决策后，基金运营状况与基金净值变化引致的投资风险，由投资者自行承担。投资有风险，选择须谨慎。敬请投资者于投资前认真阅读本基金的基金合同和招募说明书等相关法律文件。</w:t>
      </w:r>
    </w:p>
    <w:p w:rsidR="006A476A" w:rsidRDefault="006A476A">
      <w:pPr>
        <w:spacing w:line="360" w:lineRule="auto"/>
        <w:ind w:firstLineChars="200" w:firstLine="480"/>
        <w:rPr>
          <w:rFonts w:ascii="Times New Roman" w:hAnsiTheme="minorEastAsia" w:cs="Times New Roman"/>
          <w:sz w:val="24"/>
          <w:szCs w:val="24"/>
        </w:rPr>
      </w:pPr>
    </w:p>
    <w:p w:rsidR="006A476A" w:rsidRDefault="00EF6E5E">
      <w:pPr>
        <w:spacing w:line="360" w:lineRule="auto"/>
        <w:ind w:firstLineChars="200" w:firstLine="480"/>
        <w:rPr>
          <w:rFonts w:ascii="Times New Roman" w:hAnsiTheme="minorEastAsia" w:cs="Times New Roman"/>
          <w:sz w:val="24"/>
          <w:szCs w:val="24"/>
        </w:rPr>
      </w:pPr>
      <w:r>
        <w:rPr>
          <w:rFonts w:ascii="Times New Roman" w:hAnsiTheme="minorEastAsia" w:cs="Times New Roman" w:hint="eastAsia"/>
          <w:sz w:val="24"/>
          <w:szCs w:val="24"/>
        </w:rPr>
        <w:t>特此公告。</w:t>
      </w:r>
    </w:p>
    <w:p w:rsidR="00A03BFF" w:rsidRDefault="00A03BFF">
      <w:pPr>
        <w:spacing w:line="360" w:lineRule="auto"/>
        <w:ind w:firstLineChars="200" w:firstLine="480"/>
        <w:rPr>
          <w:rFonts w:ascii="Times New Roman" w:hAnsiTheme="minorEastAsia" w:cs="Times New Roman"/>
          <w:sz w:val="24"/>
          <w:szCs w:val="24"/>
        </w:rPr>
      </w:pPr>
    </w:p>
    <w:p w:rsidR="006A476A" w:rsidRDefault="00EF6E5E">
      <w:pPr>
        <w:spacing w:line="360" w:lineRule="auto"/>
        <w:jc w:val="right"/>
        <w:rPr>
          <w:rFonts w:ascii="Times New Roman" w:hAnsi="Times New Roman" w:cs="Times New Roman"/>
          <w:sz w:val="24"/>
          <w:szCs w:val="24"/>
        </w:rPr>
      </w:pPr>
      <w:r>
        <w:rPr>
          <w:rFonts w:ascii="Times New Roman" w:hAnsi="Times New Roman" w:cs="Times New Roman"/>
          <w:sz w:val="24"/>
          <w:szCs w:val="24"/>
        </w:rPr>
        <w:t>泓德基金管理有限公司</w:t>
      </w:r>
    </w:p>
    <w:p w:rsidR="006A476A" w:rsidRDefault="00A03BFF">
      <w:pPr>
        <w:wordWrap w:val="0"/>
        <w:spacing w:line="360" w:lineRule="auto"/>
        <w:jc w:val="right"/>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023</w:t>
      </w:r>
      <w:r>
        <w:rPr>
          <w:rFonts w:ascii="Times New Roman" w:hAnsi="Times New Roman" w:cs="Times New Roman" w:hint="eastAsia"/>
          <w:sz w:val="24"/>
          <w:szCs w:val="24"/>
        </w:rPr>
        <w:t>年</w:t>
      </w:r>
      <w:r>
        <w:rPr>
          <w:rFonts w:ascii="Times New Roman" w:hAnsi="Times New Roman" w:cs="Times New Roman" w:hint="eastAsia"/>
          <w:sz w:val="24"/>
          <w:szCs w:val="24"/>
        </w:rPr>
        <w:t>1</w:t>
      </w:r>
      <w:r>
        <w:rPr>
          <w:rFonts w:ascii="Times New Roman" w:hAnsi="Times New Roman" w:cs="Times New Roman"/>
          <w:sz w:val="24"/>
          <w:szCs w:val="24"/>
        </w:rPr>
        <w:t>2</w:t>
      </w:r>
      <w:r>
        <w:rPr>
          <w:rFonts w:ascii="Times New Roman" w:hAnsi="Times New Roman" w:cs="Times New Roman" w:hint="eastAsia"/>
          <w:sz w:val="24"/>
          <w:szCs w:val="24"/>
        </w:rPr>
        <w:t>月</w:t>
      </w:r>
      <w:r>
        <w:rPr>
          <w:rFonts w:ascii="Times New Roman" w:hAnsi="Times New Roman" w:cs="Times New Roman" w:hint="eastAsia"/>
          <w:sz w:val="24"/>
          <w:szCs w:val="24"/>
        </w:rPr>
        <w:t>1</w:t>
      </w:r>
      <w:r>
        <w:rPr>
          <w:rFonts w:ascii="Times New Roman" w:hAnsi="Times New Roman" w:cs="Times New Roman"/>
          <w:sz w:val="24"/>
          <w:szCs w:val="24"/>
        </w:rPr>
        <w:t>5</w:t>
      </w:r>
      <w:r>
        <w:rPr>
          <w:rFonts w:ascii="Times New Roman" w:hAnsi="Times New Roman" w:cs="Times New Roman" w:hint="eastAsia"/>
          <w:sz w:val="24"/>
          <w:szCs w:val="24"/>
        </w:rPr>
        <w:t>日</w:t>
      </w:r>
    </w:p>
    <w:p w:rsidR="006A476A" w:rsidRDefault="006A476A"/>
    <w:sectPr w:rsidR="006A476A" w:rsidSect="00FA62C9">
      <w:pgSz w:w="11906" w:h="16838"/>
      <w:pgMar w:top="1276"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605" w:rsidRDefault="00D74605" w:rsidP="00DF6A2F">
      <w:r>
        <w:separator/>
      </w:r>
    </w:p>
  </w:endnote>
  <w:endnote w:type="continuationSeparator" w:id="0">
    <w:p w:rsidR="00D74605" w:rsidRDefault="00D74605" w:rsidP="00DF6A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605" w:rsidRDefault="00D74605" w:rsidP="00DF6A2F">
      <w:r>
        <w:separator/>
      </w:r>
    </w:p>
  </w:footnote>
  <w:footnote w:type="continuationSeparator" w:id="0">
    <w:p w:rsidR="00D74605" w:rsidRDefault="00D74605" w:rsidP="00DF6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40C5C"/>
    <w:multiLevelType w:val="multilevel"/>
    <w:tmpl w:val="1F040C5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gyNGIzM2I4Nzg3OWFkYzRhNGJiYTg1MGUzMzc3ZmIifQ=="/>
  </w:docVars>
  <w:rsids>
    <w:rsidRoot w:val="00FB35EB"/>
    <w:rsid w:val="00091E9E"/>
    <w:rsid w:val="000B2519"/>
    <w:rsid w:val="00161042"/>
    <w:rsid w:val="002111AC"/>
    <w:rsid w:val="00237ADA"/>
    <w:rsid w:val="00262F46"/>
    <w:rsid w:val="0029126B"/>
    <w:rsid w:val="002C7AE7"/>
    <w:rsid w:val="002D77AC"/>
    <w:rsid w:val="00325807"/>
    <w:rsid w:val="00377B0B"/>
    <w:rsid w:val="003D0DED"/>
    <w:rsid w:val="003D663A"/>
    <w:rsid w:val="00450B3C"/>
    <w:rsid w:val="00505C3C"/>
    <w:rsid w:val="00543E4E"/>
    <w:rsid w:val="005C438A"/>
    <w:rsid w:val="00606962"/>
    <w:rsid w:val="006259F6"/>
    <w:rsid w:val="006A476A"/>
    <w:rsid w:val="006B3069"/>
    <w:rsid w:val="006D3B67"/>
    <w:rsid w:val="0071154B"/>
    <w:rsid w:val="00717FAC"/>
    <w:rsid w:val="007C006F"/>
    <w:rsid w:val="008A4322"/>
    <w:rsid w:val="008E62E8"/>
    <w:rsid w:val="008F0D83"/>
    <w:rsid w:val="00953D3B"/>
    <w:rsid w:val="00956F0D"/>
    <w:rsid w:val="0096093D"/>
    <w:rsid w:val="00975086"/>
    <w:rsid w:val="009C1A5C"/>
    <w:rsid w:val="00A03BFF"/>
    <w:rsid w:val="00A702A9"/>
    <w:rsid w:val="00A90C9B"/>
    <w:rsid w:val="00AA10C2"/>
    <w:rsid w:val="00AC28AE"/>
    <w:rsid w:val="00AD6531"/>
    <w:rsid w:val="00AE3A81"/>
    <w:rsid w:val="00B60C94"/>
    <w:rsid w:val="00BB187A"/>
    <w:rsid w:val="00C859CE"/>
    <w:rsid w:val="00CC0B78"/>
    <w:rsid w:val="00CC4822"/>
    <w:rsid w:val="00D34219"/>
    <w:rsid w:val="00D74605"/>
    <w:rsid w:val="00D83C62"/>
    <w:rsid w:val="00DF6A2F"/>
    <w:rsid w:val="00E41A72"/>
    <w:rsid w:val="00EF50D7"/>
    <w:rsid w:val="00EF6E5E"/>
    <w:rsid w:val="00FA62C9"/>
    <w:rsid w:val="00FB35EB"/>
    <w:rsid w:val="00FC1024"/>
    <w:rsid w:val="211259C2"/>
    <w:rsid w:val="2A4B44EB"/>
    <w:rsid w:val="5FE635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2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A62C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A62C9"/>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FA6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FA62C9"/>
    <w:rPr>
      <w:sz w:val="18"/>
      <w:szCs w:val="18"/>
    </w:rPr>
  </w:style>
  <w:style w:type="character" w:customStyle="1" w:styleId="Char">
    <w:name w:val="页脚 Char"/>
    <w:basedOn w:val="a0"/>
    <w:link w:val="a3"/>
    <w:uiPriority w:val="99"/>
    <w:qFormat/>
    <w:rsid w:val="00FA62C9"/>
    <w:rPr>
      <w:sz w:val="18"/>
      <w:szCs w:val="18"/>
    </w:rPr>
  </w:style>
  <w:style w:type="paragraph" w:styleId="a6">
    <w:name w:val="List Paragraph"/>
    <w:basedOn w:val="a"/>
    <w:uiPriority w:val="34"/>
    <w:qFormat/>
    <w:rsid w:val="00FA62C9"/>
    <w:pPr>
      <w:ind w:firstLineChars="200" w:firstLine="420"/>
    </w:pPr>
  </w:style>
  <w:style w:type="paragraph" w:customStyle="1" w:styleId="Default">
    <w:name w:val="Default"/>
    <w:qFormat/>
    <w:rsid w:val="00FA62C9"/>
    <w:pPr>
      <w:widowControl w:val="0"/>
      <w:autoSpaceDE w:val="0"/>
      <w:autoSpaceDN w:val="0"/>
      <w:adjustRightInd w:val="0"/>
    </w:pPr>
    <w:rPr>
      <w:rFonts w:ascii="宋体" w:eastAsia="宋体" w:cs="宋体"/>
      <w:color w:val="000000"/>
      <w:sz w:val="24"/>
      <w:szCs w:val="24"/>
    </w:rPr>
  </w:style>
  <w:style w:type="paragraph" w:styleId="a7">
    <w:name w:val="Balloon Text"/>
    <w:basedOn w:val="a"/>
    <w:link w:val="Char1"/>
    <w:uiPriority w:val="99"/>
    <w:semiHidden/>
    <w:unhideWhenUsed/>
    <w:rsid w:val="0071154B"/>
    <w:rPr>
      <w:sz w:val="18"/>
      <w:szCs w:val="18"/>
    </w:rPr>
  </w:style>
  <w:style w:type="character" w:customStyle="1" w:styleId="Char1">
    <w:name w:val="批注框文本 Char"/>
    <w:basedOn w:val="a0"/>
    <w:link w:val="a7"/>
    <w:uiPriority w:val="99"/>
    <w:semiHidden/>
    <w:rsid w:val="0071154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1573</Characters>
  <Application>Microsoft Office Word</Application>
  <DocSecurity>4</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王天骄</dc:creator>
  <cp:lastModifiedBy>ZHONGM</cp:lastModifiedBy>
  <cp:revision>2</cp:revision>
  <dcterms:created xsi:type="dcterms:W3CDTF">2023-12-14T16:01:00Z</dcterms:created>
  <dcterms:modified xsi:type="dcterms:W3CDTF">2023-12-14T16:01:00Z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42309A2209854401AEC5DC884D11D195</vt:lpwstr>
  </property>
</Properties>
</file>