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8F" w:rsidRDefault="00F0070F">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华宝基金关于旗下部分交易型开放式指数证券投资基金新增财通证券股份有限公司为一级交易商的公告</w:t>
      </w:r>
    </w:p>
    <w:p w:rsidR="0036798F" w:rsidRDefault="00F0070F">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）与财通证券股份有限公司（以下简称</w:t>
      </w:r>
      <w:r>
        <w:rPr>
          <w:rFonts w:ascii="宋体" w:eastAsia="宋体" w:hAnsi="宋体" w:cs="宋体"/>
          <w:sz w:val="21"/>
          <w:szCs w:val="21"/>
        </w:rPr>
        <w:t>“</w:t>
      </w:r>
      <w:r>
        <w:rPr>
          <w:rFonts w:ascii="宋体" w:eastAsia="宋体" w:hAnsi="宋体" w:cs="宋体"/>
          <w:sz w:val="21"/>
          <w:szCs w:val="21"/>
        </w:rPr>
        <w:t>财通证券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2023</w:t>
      </w:r>
      <w:r>
        <w:rPr>
          <w:rFonts w:ascii="宋体" w:eastAsia="宋体" w:hAnsi="宋体" w:cs="宋体"/>
          <w:sz w:val="21"/>
          <w:szCs w:val="21"/>
        </w:rPr>
        <w:t>年</w:t>
      </w:r>
      <w:r>
        <w:rPr>
          <w:rFonts w:ascii="宋体" w:eastAsia="宋体" w:hAnsi="宋体" w:cs="宋体"/>
          <w:sz w:val="21"/>
          <w:szCs w:val="21"/>
        </w:rPr>
        <w:t>12</w:t>
      </w:r>
      <w:r>
        <w:rPr>
          <w:rFonts w:ascii="宋体" w:eastAsia="宋体" w:hAnsi="宋体" w:cs="宋体"/>
          <w:sz w:val="21"/>
          <w:szCs w:val="21"/>
        </w:rPr>
        <w:t>月</w:t>
      </w:r>
      <w:r>
        <w:rPr>
          <w:rFonts w:ascii="宋体" w:eastAsia="宋体" w:hAnsi="宋体" w:cs="宋体"/>
          <w:sz w:val="21"/>
          <w:szCs w:val="21"/>
        </w:rPr>
        <w:t>14</w:t>
      </w:r>
      <w:r>
        <w:rPr>
          <w:rFonts w:ascii="宋体" w:eastAsia="宋体" w:hAnsi="宋体" w:cs="宋体"/>
          <w:sz w:val="21"/>
          <w:szCs w:val="21"/>
        </w:rPr>
        <w:t>日起增加财通证券为以下适用基金的一级交易商。</w:t>
      </w:r>
      <w:r>
        <w:rPr>
          <w:rFonts w:ascii="宋体" w:eastAsia="宋体" w:hAnsi="宋体" w:cs="宋体"/>
          <w:sz w:val="21"/>
          <w:szCs w:val="21"/>
        </w:rPr>
        <w:t xml:space="preserve"> </w:t>
      </w:r>
    </w:p>
    <w:p w:rsidR="0036798F" w:rsidRDefault="00F0070F">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504"/>
        <w:gridCol w:w="888"/>
      </w:tblGrid>
      <w:tr w:rsidR="0036798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jc w:val="center"/>
              <w:rPr>
                <w:b/>
                <w:bCs/>
                <w:color w:val="000000"/>
                <w:sz w:val="21"/>
                <w:szCs w:val="21"/>
              </w:rPr>
            </w:pPr>
            <w:r>
              <w:rPr>
                <w:rFonts w:ascii="宋体" w:eastAsia="宋体" w:hAnsi="宋体" w:cs="宋体"/>
                <w:b/>
                <w:bCs/>
                <w:color w:val="000000"/>
                <w:sz w:val="21"/>
                <w:szCs w:val="21"/>
              </w:rPr>
              <w:t>基金代码</w:t>
            </w:r>
          </w:p>
        </w:tc>
      </w:tr>
      <w:tr w:rsidR="0036798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rPr>
                <w:color w:val="000000"/>
                <w:sz w:val="21"/>
                <w:szCs w:val="21"/>
              </w:rPr>
            </w:pPr>
            <w:r>
              <w:rPr>
                <w:rFonts w:ascii="宋体" w:eastAsia="宋体" w:hAnsi="宋体" w:cs="宋体"/>
                <w:color w:val="000000"/>
                <w:sz w:val="21"/>
                <w:szCs w:val="21"/>
              </w:rPr>
              <w:t>华宝中证有色金属交易型开放式指数证券投资基金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jc w:val="center"/>
              <w:rPr>
                <w:color w:val="000000"/>
                <w:sz w:val="21"/>
                <w:szCs w:val="21"/>
              </w:rPr>
            </w:pPr>
            <w:r>
              <w:rPr>
                <w:rFonts w:ascii="宋体" w:eastAsia="宋体" w:hAnsi="宋体" w:cs="宋体"/>
                <w:color w:val="000000"/>
                <w:sz w:val="21"/>
                <w:szCs w:val="21"/>
              </w:rPr>
              <w:t>159876</w:t>
            </w:r>
          </w:p>
        </w:tc>
      </w:tr>
      <w:tr w:rsidR="0036798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rPr>
                <w:color w:val="000000"/>
                <w:sz w:val="21"/>
                <w:szCs w:val="21"/>
              </w:rPr>
            </w:pPr>
            <w:r>
              <w:rPr>
                <w:rFonts w:ascii="宋体" w:eastAsia="宋体" w:hAnsi="宋体" w:cs="宋体"/>
                <w:color w:val="000000"/>
                <w:sz w:val="21"/>
                <w:szCs w:val="21"/>
              </w:rPr>
              <w:t>华宝中证医疗交易型开放式指数证券投资基金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jc w:val="center"/>
              <w:rPr>
                <w:color w:val="000000"/>
                <w:sz w:val="21"/>
                <w:szCs w:val="21"/>
              </w:rPr>
            </w:pPr>
            <w:r>
              <w:rPr>
                <w:rFonts w:ascii="宋体" w:eastAsia="宋体" w:hAnsi="宋体" w:cs="宋体"/>
                <w:color w:val="000000"/>
                <w:sz w:val="21"/>
                <w:szCs w:val="21"/>
              </w:rPr>
              <w:t>512170</w:t>
            </w:r>
          </w:p>
        </w:tc>
      </w:tr>
      <w:tr w:rsidR="0036798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rPr>
                <w:color w:val="000000"/>
                <w:sz w:val="21"/>
                <w:szCs w:val="21"/>
              </w:rPr>
            </w:pPr>
            <w:r>
              <w:rPr>
                <w:rFonts w:ascii="宋体" w:eastAsia="宋体" w:hAnsi="宋体" w:cs="宋体"/>
                <w:color w:val="000000"/>
                <w:sz w:val="21"/>
                <w:szCs w:val="21"/>
              </w:rPr>
              <w:t>华宝中证港股通互联网交易型开放式指数证券投资基金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jc w:val="center"/>
              <w:rPr>
                <w:color w:val="000000"/>
                <w:sz w:val="21"/>
                <w:szCs w:val="21"/>
              </w:rPr>
            </w:pPr>
            <w:r>
              <w:rPr>
                <w:rFonts w:ascii="宋体" w:eastAsia="宋体" w:hAnsi="宋体" w:cs="宋体"/>
                <w:color w:val="000000"/>
                <w:sz w:val="21"/>
                <w:szCs w:val="21"/>
              </w:rPr>
              <w:t>513770</w:t>
            </w:r>
          </w:p>
        </w:tc>
      </w:tr>
      <w:tr w:rsidR="0036798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rPr>
                <w:color w:val="000000"/>
                <w:sz w:val="21"/>
                <w:szCs w:val="21"/>
              </w:rPr>
            </w:pPr>
            <w:r>
              <w:rPr>
                <w:rFonts w:ascii="宋体" w:eastAsia="宋体" w:hAnsi="宋体" w:cs="宋体"/>
                <w:color w:val="000000"/>
                <w:sz w:val="21"/>
                <w:szCs w:val="21"/>
              </w:rPr>
              <w:t>华宝中证新材料主题交易型开放式指数证券投资基金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jc w:val="center"/>
              <w:rPr>
                <w:color w:val="000000"/>
                <w:sz w:val="21"/>
                <w:szCs w:val="21"/>
              </w:rPr>
            </w:pPr>
            <w:r>
              <w:rPr>
                <w:rFonts w:ascii="宋体" w:eastAsia="宋体" w:hAnsi="宋体" w:cs="宋体"/>
                <w:color w:val="000000"/>
                <w:sz w:val="21"/>
                <w:szCs w:val="21"/>
              </w:rPr>
              <w:t>516360</w:t>
            </w:r>
          </w:p>
        </w:tc>
      </w:tr>
      <w:tr w:rsidR="0036798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rPr>
                <w:color w:val="000000"/>
                <w:sz w:val="21"/>
                <w:szCs w:val="21"/>
              </w:rPr>
            </w:pPr>
            <w:r>
              <w:rPr>
                <w:rFonts w:ascii="宋体" w:eastAsia="宋体" w:hAnsi="宋体" w:cs="宋体"/>
                <w:color w:val="000000"/>
                <w:sz w:val="21"/>
                <w:szCs w:val="21"/>
              </w:rPr>
              <w:t>华宝中证大数据产业交易型开放式指数证券投资基金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jc w:val="center"/>
              <w:rPr>
                <w:color w:val="000000"/>
                <w:sz w:val="21"/>
                <w:szCs w:val="21"/>
              </w:rPr>
            </w:pPr>
            <w:r>
              <w:rPr>
                <w:rFonts w:ascii="宋体" w:eastAsia="宋体" w:hAnsi="宋体" w:cs="宋体"/>
                <w:color w:val="000000"/>
                <w:sz w:val="21"/>
                <w:szCs w:val="21"/>
              </w:rPr>
              <w:t>516700</w:t>
            </w:r>
          </w:p>
        </w:tc>
      </w:tr>
      <w:tr w:rsidR="0036798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rPr>
                <w:color w:val="000000"/>
                <w:sz w:val="21"/>
                <w:szCs w:val="21"/>
              </w:rPr>
            </w:pPr>
            <w:r>
              <w:rPr>
                <w:rFonts w:ascii="宋体" w:eastAsia="宋体" w:hAnsi="宋体" w:cs="宋体"/>
                <w:color w:val="000000"/>
                <w:sz w:val="21"/>
                <w:szCs w:val="21"/>
              </w:rPr>
              <w:t>华宝中证信息技术应用创新产业交易型开放式指数证券投资</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6798F" w:rsidRDefault="00F0070F">
            <w:pPr>
              <w:jc w:val="center"/>
              <w:rPr>
                <w:color w:val="000000"/>
                <w:sz w:val="21"/>
                <w:szCs w:val="21"/>
              </w:rPr>
            </w:pPr>
            <w:r>
              <w:rPr>
                <w:rFonts w:ascii="宋体" w:eastAsia="宋体" w:hAnsi="宋体" w:cs="宋体"/>
                <w:color w:val="000000"/>
                <w:sz w:val="21"/>
                <w:szCs w:val="21"/>
              </w:rPr>
              <w:t>562030</w:t>
            </w:r>
          </w:p>
        </w:tc>
      </w:tr>
    </w:tbl>
    <w:p w:rsidR="0036798F" w:rsidRDefault="00F0070F">
      <w:pPr>
        <w:spacing w:before="210" w:after="210" w:line="560" w:lineRule="atLeast"/>
        <w:ind w:left="420"/>
        <w:rPr>
          <w:sz w:val="21"/>
          <w:szCs w:val="21"/>
        </w:rPr>
      </w:pPr>
      <w:r>
        <w:rPr>
          <w:rFonts w:ascii="宋体" w:eastAsia="宋体" w:hAnsi="宋体" w:cs="宋体"/>
          <w:sz w:val="21"/>
          <w:szCs w:val="21"/>
        </w:rPr>
        <w:t>二、投资者可到财通证券办理上述</w:t>
      </w:r>
      <w:r>
        <w:rPr>
          <w:rFonts w:ascii="宋体" w:eastAsia="宋体" w:hAnsi="宋体" w:cs="宋体"/>
          <w:sz w:val="21"/>
          <w:szCs w:val="21"/>
        </w:rPr>
        <w:t>ETF</w:t>
      </w:r>
      <w:r>
        <w:rPr>
          <w:rFonts w:ascii="宋体" w:eastAsia="宋体" w:hAnsi="宋体" w:cs="宋体"/>
          <w:sz w:val="21"/>
          <w:szCs w:val="21"/>
        </w:rPr>
        <w:t>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财通证券股份有限公司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95336</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www.ctsec.com</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36798F" w:rsidRDefault="00F0070F">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rPr>
        <w:t xml:space="preserve"> </w:t>
      </w:r>
    </w:p>
    <w:p w:rsidR="0036798F" w:rsidRDefault="00F0070F">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36798F" w:rsidRDefault="00F0070F">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2023</w:t>
      </w:r>
      <w:r>
        <w:rPr>
          <w:rFonts w:ascii="宋体" w:eastAsia="宋体" w:hAnsi="宋体" w:cs="宋体"/>
          <w:sz w:val="21"/>
          <w:szCs w:val="21"/>
        </w:rPr>
        <w:t>年</w:t>
      </w:r>
      <w:r>
        <w:rPr>
          <w:rFonts w:ascii="宋体" w:eastAsia="宋体" w:hAnsi="宋体" w:cs="宋体"/>
          <w:sz w:val="21"/>
          <w:szCs w:val="21"/>
        </w:rPr>
        <w:t>12</w:t>
      </w:r>
      <w:r>
        <w:rPr>
          <w:rFonts w:ascii="宋体" w:eastAsia="宋体" w:hAnsi="宋体" w:cs="宋体"/>
          <w:sz w:val="21"/>
          <w:szCs w:val="21"/>
        </w:rPr>
        <w:t>月</w:t>
      </w:r>
      <w:r>
        <w:rPr>
          <w:rFonts w:ascii="宋体" w:eastAsia="宋体" w:hAnsi="宋体" w:cs="宋体"/>
          <w:sz w:val="21"/>
          <w:szCs w:val="21"/>
        </w:rPr>
        <w:t>14</w:t>
      </w:r>
      <w:r>
        <w:rPr>
          <w:rFonts w:ascii="宋体" w:eastAsia="宋体" w:hAnsi="宋体" w:cs="宋体"/>
          <w:sz w:val="21"/>
          <w:szCs w:val="21"/>
        </w:rPr>
        <w:t>日</w:t>
      </w:r>
      <w:r>
        <w:rPr>
          <w:rFonts w:ascii="宋体" w:eastAsia="宋体" w:hAnsi="宋体" w:cs="宋体"/>
          <w:sz w:val="21"/>
          <w:szCs w:val="21"/>
        </w:rPr>
        <w:t xml:space="preserve"> </w:t>
      </w:r>
    </w:p>
    <w:p w:rsidR="0036798F" w:rsidRDefault="0036798F">
      <w:pPr>
        <w:spacing w:before="240" w:after="240"/>
      </w:pPr>
    </w:p>
    <w:sectPr w:rsidR="0036798F" w:rsidSect="0036798F">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98F" w:rsidRDefault="0036798F" w:rsidP="0036798F">
      <w:r>
        <w:separator/>
      </w:r>
    </w:p>
  </w:endnote>
  <w:endnote w:type="continuationSeparator" w:id="0">
    <w:p w:rsidR="0036798F" w:rsidRDefault="0036798F" w:rsidP="00367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8F" w:rsidRDefault="0036798F">
    <w:pPr>
      <w:jc w:val="center"/>
      <w:rPr>
        <w:sz w:val="20"/>
      </w:rPr>
    </w:pPr>
    <w:r>
      <w:rPr>
        <w:sz w:val="20"/>
      </w:rPr>
      <w:fldChar w:fldCharType="begin"/>
    </w:r>
    <w:r w:rsidR="00F0070F">
      <w:rPr>
        <w:rFonts w:ascii="宋体" w:eastAsia="宋体" w:hAnsi="宋体" w:cs="宋体"/>
        <w:sz w:val="20"/>
      </w:rPr>
      <w:instrText>PAGE</w:instrText>
    </w:r>
    <w:r>
      <w:rPr>
        <w:sz w:val="20"/>
      </w:rPr>
      <w:fldChar w:fldCharType="separate"/>
    </w:r>
    <w:r w:rsidR="00F0070F">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98F" w:rsidRDefault="0036798F" w:rsidP="0036798F">
      <w:r>
        <w:separator/>
      </w:r>
    </w:p>
  </w:footnote>
  <w:footnote w:type="continuationSeparator" w:id="0">
    <w:p w:rsidR="0036798F" w:rsidRDefault="0036798F" w:rsidP="003679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36798F"/>
    <w:rsid w:val="00A77B3E"/>
    <w:rsid w:val="00CA2A55"/>
    <w:rsid w:val="00F00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98F"/>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华宝基金关于旗下部分交易型开放式指数证券投资基金新增财通证券股份有限公司为一级交易商的公告</dc:title>
  <cp:lastModifiedBy>ZHONGM</cp:lastModifiedBy>
  <cp:revision>2</cp:revision>
  <dcterms:created xsi:type="dcterms:W3CDTF">2023-12-13T16:01:00Z</dcterms:created>
  <dcterms:modified xsi:type="dcterms:W3CDTF">2023-12-13T16:01:00Z</dcterms:modified>
</cp:coreProperties>
</file>