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68" w:rsidRDefault="001B0C68"/>
    <w:p w:rsidR="001B0C68" w:rsidRDefault="001D1689">
      <w:pPr>
        <w:jc w:val="center"/>
        <w:rPr>
          <w:rFonts w:ascii="宋体" w:eastAsia="宋体" w:hAnsi="宋体"/>
          <w:b/>
          <w:sz w:val="28"/>
        </w:rPr>
      </w:pPr>
      <w:r>
        <w:rPr>
          <w:rFonts w:ascii="宋体" w:eastAsia="宋体" w:hAnsi="宋体" w:hint="eastAsia"/>
          <w:b/>
          <w:sz w:val="28"/>
        </w:rPr>
        <w:t>博时富业纯债</w:t>
      </w:r>
      <w:r>
        <w:rPr>
          <w:rFonts w:ascii="宋体" w:eastAsia="宋体" w:hAnsi="宋体" w:hint="eastAsia"/>
          <w:b/>
          <w:sz w:val="28"/>
        </w:rPr>
        <w:t>3</w:t>
      </w:r>
      <w:r>
        <w:rPr>
          <w:rFonts w:ascii="宋体" w:eastAsia="宋体" w:hAnsi="宋体" w:hint="eastAsia"/>
          <w:b/>
          <w:sz w:val="28"/>
        </w:rPr>
        <w:t>个月定期开放债券型发起式证券投资基金分红公告</w:t>
      </w:r>
    </w:p>
    <w:p w:rsidR="001B0C68" w:rsidRDefault="001D1689">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14</w:t>
      </w:r>
      <w:r>
        <w:rPr>
          <w:rFonts w:ascii="宋体" w:eastAsia="宋体" w:hAnsi="宋体"/>
          <w:b/>
          <w:sz w:val="24"/>
        </w:rPr>
        <w:t>日</w:t>
      </w:r>
    </w:p>
    <w:p w:rsidR="001B0C68" w:rsidRDefault="001B0C68">
      <w:pPr>
        <w:jc w:val="center"/>
        <w:rPr>
          <w:rFonts w:ascii="宋体" w:eastAsia="宋体" w:hAnsi="宋体"/>
          <w:b/>
          <w:sz w:val="24"/>
        </w:rPr>
      </w:pPr>
    </w:p>
    <w:p w:rsidR="001B0C68" w:rsidRDefault="001D1689">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1B0C68">
        <w:tc>
          <w:tcPr>
            <w:tcW w:w="2840" w:type="dxa"/>
            <w:vAlign w:val="center"/>
          </w:tcPr>
          <w:p w:rsidR="001B0C68" w:rsidRDefault="001D1689">
            <w:pPr>
              <w:rPr>
                <w:rFonts w:ascii="宋体" w:eastAsia="宋体" w:hAnsi="宋体"/>
              </w:rPr>
            </w:pPr>
            <w:r>
              <w:rPr>
                <w:rFonts w:ascii="宋体" w:eastAsia="宋体" w:hAnsi="宋体" w:hint="eastAsia"/>
              </w:rPr>
              <w:t>基金名称</w:t>
            </w:r>
          </w:p>
        </w:tc>
        <w:tc>
          <w:tcPr>
            <w:tcW w:w="5682" w:type="dxa"/>
            <w:gridSpan w:val="2"/>
            <w:vAlign w:val="center"/>
          </w:tcPr>
          <w:p w:rsidR="001B0C68" w:rsidRDefault="001D1689">
            <w:pPr>
              <w:rPr>
                <w:rFonts w:ascii="宋体" w:eastAsia="宋体" w:hAnsi="宋体"/>
              </w:rPr>
            </w:pPr>
            <w:r>
              <w:rPr>
                <w:rFonts w:ascii="宋体" w:eastAsia="宋体" w:hAnsi="宋体" w:hint="eastAsia"/>
              </w:rPr>
              <w:t>博时富业纯债</w:t>
            </w:r>
            <w:r>
              <w:rPr>
                <w:rFonts w:ascii="宋体" w:eastAsia="宋体" w:hAnsi="宋体"/>
              </w:rPr>
              <w:t>3</w:t>
            </w:r>
            <w:r>
              <w:rPr>
                <w:rFonts w:ascii="宋体" w:eastAsia="宋体" w:hAnsi="宋体"/>
              </w:rPr>
              <w:t>个月定期开放债券型发起式证券投资基金</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基金简称</w:t>
            </w:r>
          </w:p>
        </w:tc>
        <w:tc>
          <w:tcPr>
            <w:tcW w:w="5682" w:type="dxa"/>
            <w:gridSpan w:val="2"/>
            <w:vAlign w:val="center"/>
          </w:tcPr>
          <w:p w:rsidR="001B0C68" w:rsidRDefault="001D1689">
            <w:pPr>
              <w:rPr>
                <w:rFonts w:ascii="宋体" w:eastAsia="宋体" w:hAnsi="宋体"/>
              </w:rPr>
            </w:pPr>
            <w:r>
              <w:rPr>
                <w:rFonts w:ascii="宋体" w:eastAsia="宋体" w:hAnsi="宋体" w:hint="eastAsia"/>
              </w:rPr>
              <w:t>博时富业</w:t>
            </w:r>
            <w:r>
              <w:rPr>
                <w:rFonts w:ascii="宋体" w:eastAsia="宋体" w:hAnsi="宋体"/>
              </w:rPr>
              <w:t>3</w:t>
            </w:r>
            <w:r>
              <w:rPr>
                <w:rFonts w:ascii="宋体" w:eastAsia="宋体" w:hAnsi="宋体"/>
              </w:rPr>
              <w:t>个月定开债发起式</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基金主代码</w:t>
            </w:r>
          </w:p>
        </w:tc>
        <w:tc>
          <w:tcPr>
            <w:tcW w:w="5682" w:type="dxa"/>
            <w:gridSpan w:val="2"/>
            <w:vAlign w:val="center"/>
          </w:tcPr>
          <w:p w:rsidR="001B0C68" w:rsidRDefault="001D1689">
            <w:pPr>
              <w:rPr>
                <w:rFonts w:ascii="宋体" w:eastAsia="宋体" w:hAnsi="宋体"/>
              </w:rPr>
            </w:pPr>
            <w:r>
              <w:rPr>
                <w:rFonts w:ascii="宋体" w:eastAsia="宋体" w:hAnsi="宋体"/>
              </w:rPr>
              <w:t>005462</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基金合同生效日</w:t>
            </w:r>
          </w:p>
        </w:tc>
        <w:tc>
          <w:tcPr>
            <w:tcW w:w="5682" w:type="dxa"/>
            <w:gridSpan w:val="2"/>
            <w:vAlign w:val="center"/>
          </w:tcPr>
          <w:p w:rsidR="001B0C68" w:rsidRDefault="001D1689">
            <w:pPr>
              <w:rPr>
                <w:rFonts w:ascii="宋体" w:eastAsia="宋体" w:hAnsi="宋体"/>
              </w:rPr>
            </w:pPr>
            <w:r>
              <w:rPr>
                <w:rFonts w:ascii="宋体" w:eastAsia="宋体" w:hAnsi="宋体"/>
              </w:rPr>
              <w:t>2018</w:t>
            </w:r>
            <w:r>
              <w:rPr>
                <w:rFonts w:ascii="宋体" w:eastAsia="宋体" w:hAnsi="宋体"/>
              </w:rPr>
              <w:t>年</w:t>
            </w:r>
            <w:r>
              <w:rPr>
                <w:rFonts w:ascii="宋体" w:eastAsia="宋体" w:hAnsi="宋体"/>
              </w:rPr>
              <w:t>7</w:t>
            </w:r>
            <w:r>
              <w:rPr>
                <w:rFonts w:ascii="宋体" w:eastAsia="宋体" w:hAnsi="宋体"/>
              </w:rPr>
              <w:t>月</w:t>
            </w:r>
            <w:r>
              <w:rPr>
                <w:rFonts w:ascii="宋体" w:eastAsia="宋体" w:hAnsi="宋体"/>
              </w:rPr>
              <w:t>2</w:t>
            </w:r>
            <w:r>
              <w:rPr>
                <w:rFonts w:ascii="宋体" w:eastAsia="宋体" w:hAnsi="宋体"/>
              </w:rPr>
              <w:t>日</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基金管理人名称</w:t>
            </w:r>
          </w:p>
        </w:tc>
        <w:tc>
          <w:tcPr>
            <w:tcW w:w="5682" w:type="dxa"/>
            <w:gridSpan w:val="2"/>
            <w:vAlign w:val="center"/>
          </w:tcPr>
          <w:p w:rsidR="001B0C68" w:rsidRDefault="001D1689">
            <w:pPr>
              <w:rPr>
                <w:rFonts w:ascii="宋体" w:eastAsia="宋体" w:hAnsi="宋体"/>
              </w:rPr>
            </w:pPr>
            <w:r>
              <w:rPr>
                <w:rFonts w:ascii="宋体" w:eastAsia="宋体" w:hAnsi="宋体" w:hint="eastAsia"/>
              </w:rPr>
              <w:t>博时基金管理有限公司</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基金托管人名称</w:t>
            </w:r>
          </w:p>
        </w:tc>
        <w:tc>
          <w:tcPr>
            <w:tcW w:w="5682" w:type="dxa"/>
            <w:gridSpan w:val="2"/>
            <w:vAlign w:val="center"/>
          </w:tcPr>
          <w:p w:rsidR="001B0C68" w:rsidRDefault="001D1689">
            <w:pPr>
              <w:rPr>
                <w:rFonts w:ascii="宋体" w:eastAsia="宋体" w:hAnsi="宋体"/>
              </w:rPr>
            </w:pPr>
            <w:r>
              <w:rPr>
                <w:rFonts w:ascii="宋体" w:eastAsia="宋体" w:hAnsi="宋体" w:hint="eastAsia"/>
              </w:rPr>
              <w:t>兴业银行股份有限公司</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公告依据</w:t>
            </w:r>
          </w:p>
        </w:tc>
        <w:tc>
          <w:tcPr>
            <w:tcW w:w="5682" w:type="dxa"/>
            <w:gridSpan w:val="2"/>
            <w:vAlign w:val="center"/>
          </w:tcPr>
          <w:p w:rsidR="001B0C68" w:rsidRDefault="001D1689">
            <w:pPr>
              <w:rPr>
                <w:rFonts w:ascii="宋体" w:eastAsia="宋体" w:hAnsi="宋体"/>
              </w:rPr>
            </w:pPr>
            <w:r>
              <w:rPr>
                <w:rFonts w:ascii="宋体" w:eastAsia="宋体" w:hAnsi="宋体" w:hint="eastAsia"/>
              </w:rPr>
              <w:t>《中华人民共和国证券投资基金法》、《公开募集证券投资基金运作管理办法》、《博时富业纯债</w:t>
            </w:r>
            <w:r>
              <w:rPr>
                <w:rFonts w:ascii="宋体" w:eastAsia="宋体" w:hAnsi="宋体"/>
              </w:rPr>
              <w:t>3</w:t>
            </w:r>
            <w:r>
              <w:rPr>
                <w:rFonts w:ascii="宋体" w:eastAsia="宋体" w:hAnsi="宋体"/>
              </w:rPr>
              <w:t>个月定期开放债券型发起式证券投资基金基金合同》、《博时富业纯债</w:t>
            </w:r>
            <w:r>
              <w:rPr>
                <w:rFonts w:ascii="宋体" w:eastAsia="宋体" w:hAnsi="宋体"/>
              </w:rPr>
              <w:t>3</w:t>
            </w:r>
            <w:r>
              <w:rPr>
                <w:rFonts w:ascii="宋体" w:eastAsia="宋体" w:hAnsi="宋体"/>
              </w:rPr>
              <w:t>个月定期开放债券型发起式证券投资基金招募说明书》等</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收益分配基准日</w:t>
            </w:r>
          </w:p>
        </w:tc>
        <w:tc>
          <w:tcPr>
            <w:tcW w:w="5682" w:type="dxa"/>
            <w:gridSpan w:val="2"/>
            <w:vAlign w:val="center"/>
          </w:tcPr>
          <w:p w:rsidR="001B0C68" w:rsidRDefault="001D1689">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8</w:t>
            </w:r>
            <w:r>
              <w:rPr>
                <w:rFonts w:ascii="宋体" w:eastAsia="宋体" w:hAnsi="宋体"/>
              </w:rPr>
              <w:t>日</w:t>
            </w:r>
          </w:p>
        </w:tc>
      </w:tr>
      <w:tr w:rsidR="001B0C68">
        <w:tc>
          <w:tcPr>
            <w:tcW w:w="2840" w:type="dxa"/>
            <w:vMerge w:val="restart"/>
            <w:vAlign w:val="center"/>
          </w:tcPr>
          <w:p w:rsidR="001B0C68" w:rsidRDefault="001D1689">
            <w:pPr>
              <w:rPr>
                <w:rFonts w:ascii="宋体" w:eastAsia="宋体" w:hAnsi="宋体"/>
              </w:rPr>
            </w:pPr>
            <w:r>
              <w:rPr>
                <w:rFonts w:ascii="宋体" w:eastAsia="宋体" w:hAnsi="宋体" w:hint="eastAsia"/>
              </w:rPr>
              <w:t>截止收益分配基准日的相关指标</w:t>
            </w:r>
          </w:p>
        </w:tc>
        <w:tc>
          <w:tcPr>
            <w:tcW w:w="2841" w:type="dxa"/>
            <w:vAlign w:val="center"/>
          </w:tcPr>
          <w:p w:rsidR="001B0C68" w:rsidRDefault="001D1689">
            <w:pPr>
              <w:rPr>
                <w:rFonts w:ascii="宋体" w:eastAsia="宋体" w:hAnsi="宋体"/>
              </w:rPr>
            </w:pPr>
            <w:r>
              <w:rPr>
                <w:rFonts w:ascii="宋体" w:eastAsia="宋体" w:hAnsi="宋体" w:hint="eastAsia"/>
              </w:rPr>
              <w:t>基准日基金份额净值（单位：元）</w:t>
            </w:r>
          </w:p>
        </w:tc>
        <w:tc>
          <w:tcPr>
            <w:tcW w:w="2841" w:type="dxa"/>
            <w:vAlign w:val="center"/>
          </w:tcPr>
          <w:p w:rsidR="001B0C68" w:rsidRDefault="001D1689">
            <w:pPr>
              <w:rPr>
                <w:rFonts w:ascii="宋体" w:eastAsia="宋体" w:hAnsi="宋体"/>
              </w:rPr>
            </w:pPr>
            <w:r>
              <w:rPr>
                <w:rFonts w:ascii="宋体" w:eastAsia="宋体" w:hAnsi="宋体"/>
              </w:rPr>
              <w:t>1.0194</w:t>
            </w:r>
          </w:p>
        </w:tc>
      </w:tr>
      <w:tr w:rsidR="001B0C68">
        <w:tc>
          <w:tcPr>
            <w:tcW w:w="2840" w:type="dxa"/>
            <w:vMerge/>
            <w:vAlign w:val="center"/>
          </w:tcPr>
          <w:p w:rsidR="001B0C68" w:rsidRDefault="001B0C68"/>
        </w:tc>
        <w:tc>
          <w:tcPr>
            <w:tcW w:w="2841" w:type="dxa"/>
            <w:vAlign w:val="center"/>
          </w:tcPr>
          <w:p w:rsidR="001B0C68" w:rsidRDefault="001D1689">
            <w:pPr>
              <w:rPr>
                <w:rFonts w:ascii="宋体" w:eastAsia="宋体" w:hAnsi="宋体"/>
              </w:rPr>
            </w:pPr>
            <w:r>
              <w:rPr>
                <w:rFonts w:ascii="宋体" w:eastAsia="宋体" w:hAnsi="宋体" w:hint="eastAsia"/>
              </w:rPr>
              <w:t>基准日基金可供分配利润（单位：元）</w:t>
            </w:r>
          </w:p>
        </w:tc>
        <w:tc>
          <w:tcPr>
            <w:tcW w:w="2841" w:type="dxa"/>
            <w:vAlign w:val="center"/>
          </w:tcPr>
          <w:p w:rsidR="001B0C68" w:rsidRDefault="001D1689">
            <w:pPr>
              <w:rPr>
                <w:rFonts w:ascii="宋体" w:eastAsia="宋体" w:hAnsi="宋体"/>
              </w:rPr>
            </w:pPr>
            <w:r>
              <w:rPr>
                <w:rFonts w:ascii="宋体" w:eastAsia="宋体" w:hAnsi="宋体"/>
              </w:rPr>
              <w:t>19,525,733.90</w:t>
            </w:r>
          </w:p>
        </w:tc>
      </w:tr>
      <w:tr w:rsidR="001B0C68">
        <w:tc>
          <w:tcPr>
            <w:tcW w:w="2840" w:type="dxa"/>
            <w:vMerge/>
            <w:vAlign w:val="center"/>
          </w:tcPr>
          <w:p w:rsidR="001B0C68" w:rsidRDefault="001B0C68"/>
        </w:tc>
        <w:tc>
          <w:tcPr>
            <w:tcW w:w="2841" w:type="dxa"/>
            <w:vAlign w:val="center"/>
          </w:tcPr>
          <w:p w:rsidR="001B0C68" w:rsidRDefault="001D1689">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1B0C68" w:rsidRDefault="001D1689">
            <w:pPr>
              <w:rPr>
                <w:rFonts w:ascii="宋体" w:eastAsia="宋体" w:hAnsi="宋体"/>
              </w:rPr>
            </w:pPr>
            <w:r>
              <w:rPr>
                <w:rFonts w:ascii="宋体" w:eastAsia="宋体" w:hAnsi="宋体"/>
              </w:rPr>
              <w:t>-</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1B0C68" w:rsidRDefault="001D1689">
            <w:pPr>
              <w:rPr>
                <w:rFonts w:ascii="宋体" w:eastAsia="宋体" w:hAnsi="宋体"/>
              </w:rPr>
            </w:pPr>
            <w:r>
              <w:rPr>
                <w:rFonts w:ascii="宋体" w:eastAsia="宋体" w:hAnsi="宋体"/>
              </w:rPr>
              <w:t>0.0900</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有关年度分红次数的说明</w:t>
            </w:r>
          </w:p>
        </w:tc>
        <w:tc>
          <w:tcPr>
            <w:tcW w:w="5682" w:type="dxa"/>
            <w:gridSpan w:val="2"/>
            <w:vAlign w:val="center"/>
          </w:tcPr>
          <w:p w:rsidR="001B0C68" w:rsidRDefault="001D1689">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4</w:t>
            </w:r>
            <w:r>
              <w:rPr>
                <w:rFonts w:ascii="宋体" w:eastAsia="宋体" w:hAnsi="宋体"/>
              </w:rPr>
              <w:t>次分红</w:t>
            </w:r>
          </w:p>
        </w:tc>
      </w:tr>
    </w:tbl>
    <w:p w:rsidR="001B0C68" w:rsidRDefault="001B0C68"/>
    <w:p w:rsidR="001B0C68" w:rsidRDefault="001D1689">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0.0900</w:t>
      </w:r>
      <w:r>
        <w:rPr>
          <w:rFonts w:hint="eastAsia"/>
          <w:sz w:val="21"/>
          <w:szCs w:val="21"/>
        </w:rPr>
        <w:t>元人民币。</w:t>
      </w:r>
      <w:r>
        <w:rPr>
          <w:rFonts w:hint="eastAsia"/>
          <w:sz w:val="21"/>
          <w:szCs w:val="21"/>
        </w:rPr>
        <w:t> </w:t>
      </w:r>
    </w:p>
    <w:p w:rsidR="001B0C68" w:rsidRDefault="001D1689">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1B0C68">
        <w:tc>
          <w:tcPr>
            <w:tcW w:w="2840" w:type="dxa"/>
            <w:vAlign w:val="center"/>
          </w:tcPr>
          <w:p w:rsidR="001B0C68" w:rsidRDefault="001D1689">
            <w:pPr>
              <w:rPr>
                <w:rFonts w:ascii="宋体" w:eastAsia="宋体" w:hAnsi="宋体"/>
              </w:rPr>
            </w:pPr>
            <w:r>
              <w:rPr>
                <w:rFonts w:ascii="宋体" w:eastAsia="宋体" w:hAnsi="宋体" w:hint="eastAsia"/>
              </w:rPr>
              <w:t>权益登记日</w:t>
            </w:r>
          </w:p>
        </w:tc>
        <w:tc>
          <w:tcPr>
            <w:tcW w:w="5682" w:type="dxa"/>
            <w:vAlign w:val="center"/>
          </w:tcPr>
          <w:p w:rsidR="001B0C68" w:rsidRDefault="001D1689">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除息日</w:t>
            </w:r>
          </w:p>
        </w:tc>
        <w:tc>
          <w:tcPr>
            <w:tcW w:w="5682" w:type="dxa"/>
            <w:vAlign w:val="center"/>
          </w:tcPr>
          <w:p w:rsidR="001B0C68" w:rsidRDefault="001D1689">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现金红利发放日</w:t>
            </w:r>
          </w:p>
        </w:tc>
        <w:tc>
          <w:tcPr>
            <w:tcW w:w="5682" w:type="dxa"/>
            <w:vAlign w:val="center"/>
          </w:tcPr>
          <w:p w:rsidR="001B0C68" w:rsidRDefault="001D1689">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20</w:t>
            </w:r>
            <w:r>
              <w:rPr>
                <w:rFonts w:ascii="宋体" w:eastAsia="宋体" w:hAnsi="宋体"/>
              </w:rPr>
              <w:t>日</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分红对象</w:t>
            </w:r>
          </w:p>
        </w:tc>
        <w:tc>
          <w:tcPr>
            <w:tcW w:w="5682" w:type="dxa"/>
            <w:vAlign w:val="center"/>
          </w:tcPr>
          <w:p w:rsidR="001B0C68" w:rsidRDefault="001D1689">
            <w:pPr>
              <w:rPr>
                <w:rFonts w:ascii="宋体" w:eastAsia="宋体" w:hAnsi="宋体"/>
              </w:rPr>
            </w:pPr>
            <w:r>
              <w:rPr>
                <w:rFonts w:ascii="宋体" w:eastAsia="宋体" w:hAnsi="宋体" w:hint="eastAsia"/>
              </w:rPr>
              <w:t>权益登记日登记在册的本基金份额持有人</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红利再投资相关事项的说明</w:t>
            </w:r>
          </w:p>
        </w:tc>
        <w:tc>
          <w:tcPr>
            <w:tcW w:w="5682" w:type="dxa"/>
            <w:vAlign w:val="center"/>
          </w:tcPr>
          <w:p w:rsidR="001B0C68" w:rsidRDefault="001D1689">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18</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19</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20</w:t>
            </w:r>
            <w:r>
              <w:rPr>
                <w:rFonts w:ascii="宋体" w:eastAsia="宋体" w:hAnsi="宋体"/>
              </w:rPr>
              <w:t>日起投资者可以查询、赎回。</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1B0C68" w:rsidRDefault="001D1689">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1B0C68">
        <w:tc>
          <w:tcPr>
            <w:tcW w:w="2840" w:type="dxa"/>
            <w:vAlign w:val="center"/>
          </w:tcPr>
          <w:p w:rsidR="001B0C68" w:rsidRDefault="001D1689">
            <w:pPr>
              <w:rPr>
                <w:rFonts w:ascii="宋体" w:eastAsia="宋体" w:hAnsi="宋体"/>
              </w:rPr>
            </w:pPr>
            <w:r>
              <w:rPr>
                <w:rFonts w:ascii="宋体" w:eastAsia="宋体" w:hAnsi="宋体" w:hint="eastAsia"/>
              </w:rPr>
              <w:t>费用相关事项的说明</w:t>
            </w:r>
          </w:p>
        </w:tc>
        <w:tc>
          <w:tcPr>
            <w:tcW w:w="5682" w:type="dxa"/>
            <w:vAlign w:val="center"/>
          </w:tcPr>
          <w:p w:rsidR="001B0C68" w:rsidRDefault="001D1689">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1B0C68" w:rsidRDefault="001B0C68"/>
    <w:p w:rsidR="001B0C68" w:rsidRDefault="001D1689">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1B0C68" w:rsidRDefault="001D1689">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1B0C68" w:rsidRDefault="001D1689">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1B0C68" w:rsidRDefault="001D1689">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18</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1B0C68" w:rsidRDefault="001D1689">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w:t>
      </w:r>
      <w:r>
        <w:rPr>
          <w:rFonts w:hint="eastAsia"/>
          <w:sz w:val="21"/>
          <w:szCs w:val="21"/>
        </w:rPr>
        <w:t>本</w:t>
      </w:r>
      <w:r>
        <w:rPr>
          <w:rFonts w:hint="eastAsia"/>
          <w:sz w:val="21"/>
          <w:szCs w:val="21"/>
        </w:rPr>
        <w:t>基金份额持有人及希望了解本基金其他有关信息的投资者</w:t>
      </w:r>
      <w:r>
        <w:rPr>
          <w:rFonts w:hint="eastAsia"/>
          <w:sz w:val="21"/>
          <w:szCs w:val="21"/>
        </w:rPr>
        <w:t>,</w:t>
      </w:r>
      <w:r>
        <w:rPr>
          <w:rFonts w:hint="eastAsia"/>
          <w:sz w:val="21"/>
          <w:szCs w:val="21"/>
        </w:rPr>
        <w:t>可以登录本基金管理人网站（</w:t>
      </w:r>
      <w:bookmarkStart w:id="0" w:name="_GoBack"/>
      <w:r w:rsidR="001B0C68" w:rsidRPr="001B0C68">
        <w:rPr>
          <w:rFonts w:hint="eastAsia"/>
        </w:rPr>
        <w:fldChar w:fldCharType="begin"/>
      </w:r>
      <w:r>
        <w:instrText xml:space="preserve"> HYPERLINK "http://www.bosera.com" </w:instrText>
      </w:r>
      <w:r w:rsidR="001B0C68" w:rsidRPr="001B0C68">
        <w:rPr>
          <w:rFonts w:hint="eastAsia"/>
        </w:rPr>
        <w:fldChar w:fldCharType="separate"/>
      </w:r>
      <w:r>
        <w:rPr>
          <w:rStyle w:val="a5"/>
          <w:rFonts w:hint="eastAsia"/>
          <w:color w:val="auto"/>
          <w:sz w:val="21"/>
          <w:szCs w:val="21"/>
          <w:u w:val="none"/>
        </w:rPr>
        <w:t>http://www.bosera.com</w:t>
      </w:r>
      <w:r w:rsidR="001B0C68">
        <w:rPr>
          <w:rStyle w:val="a5"/>
          <w:rFonts w:hint="eastAsia"/>
          <w:color w:val="auto"/>
          <w:sz w:val="21"/>
          <w:szCs w:val="21"/>
          <w:u w:val="none"/>
        </w:rPr>
        <w:fldChar w:fldCharType="end"/>
      </w:r>
      <w:bookmarkEnd w:id="0"/>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1B0C68" w:rsidRDefault="001D1689">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w:t>
      </w:r>
      <w:r>
        <w:rPr>
          <w:rFonts w:hint="eastAsia"/>
          <w:sz w:val="21"/>
          <w:szCs w:val="21"/>
        </w:rPr>
        <w:t>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w:t>
      </w:r>
      <w:r>
        <w:rPr>
          <w:rFonts w:hint="eastAsia"/>
          <w:sz w:val="21"/>
          <w:szCs w:val="21"/>
        </w:rPr>
        <w:t>注意投资风险。</w:t>
      </w:r>
      <w:r>
        <w:rPr>
          <w:rFonts w:hint="eastAsia"/>
          <w:sz w:val="21"/>
          <w:szCs w:val="21"/>
        </w:rPr>
        <w:t xml:space="preserve"> </w:t>
      </w:r>
    </w:p>
    <w:p w:rsidR="001B0C68" w:rsidRDefault="001D1689">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1B0C68" w:rsidRDefault="001B0C68">
      <w:pPr>
        <w:pStyle w:val="a3"/>
        <w:spacing w:before="0" w:beforeAutospacing="0" w:after="0" w:afterAutospacing="0" w:line="360" w:lineRule="auto"/>
        <w:ind w:firstLine="420"/>
        <w:rPr>
          <w:sz w:val="21"/>
          <w:szCs w:val="21"/>
        </w:rPr>
      </w:pPr>
    </w:p>
    <w:p w:rsidR="001B0C68" w:rsidRDefault="001B0C68">
      <w:pPr>
        <w:pStyle w:val="a3"/>
        <w:spacing w:before="0" w:beforeAutospacing="0" w:after="0" w:afterAutospacing="0" w:line="360" w:lineRule="auto"/>
        <w:ind w:firstLine="420"/>
        <w:rPr>
          <w:sz w:val="21"/>
          <w:szCs w:val="21"/>
        </w:rPr>
      </w:pPr>
    </w:p>
    <w:p w:rsidR="001B0C68" w:rsidRDefault="001B0C68">
      <w:pPr>
        <w:pStyle w:val="a3"/>
        <w:spacing w:before="0" w:beforeAutospacing="0" w:after="0" w:afterAutospacing="0" w:line="360" w:lineRule="auto"/>
        <w:ind w:firstLine="420"/>
        <w:rPr>
          <w:sz w:val="21"/>
          <w:szCs w:val="21"/>
        </w:rPr>
      </w:pPr>
    </w:p>
    <w:p w:rsidR="001B0C68" w:rsidRDefault="001D1689">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1B0C68" w:rsidRDefault="001D1689">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14</w:t>
      </w:r>
      <w:r>
        <w:rPr>
          <w:sz w:val="21"/>
          <w:szCs w:val="21"/>
        </w:rPr>
        <w:t>日</w:t>
      </w:r>
    </w:p>
    <w:sectPr w:rsidR="001B0C68" w:rsidSect="001B0C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73A"/>
    <w:rsid w:val="00087090"/>
    <w:rsid w:val="001B0C68"/>
    <w:rsid w:val="001D1689"/>
    <w:rsid w:val="004A073A"/>
    <w:rsid w:val="3ACE1B14"/>
    <w:rsid w:val="572069FE"/>
    <w:rsid w:val="7BB30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68"/>
    <w:pPr>
      <w:widowControl w:val="0"/>
      <w:jc w:val="both"/>
    </w:pPr>
    <w:rPr>
      <w:kern w:val="2"/>
      <w:sz w:val="21"/>
      <w:szCs w:val="22"/>
    </w:rPr>
  </w:style>
  <w:style w:type="paragraph" w:styleId="3">
    <w:name w:val="heading 3"/>
    <w:basedOn w:val="a"/>
    <w:next w:val="a"/>
    <w:link w:val="3Char"/>
    <w:uiPriority w:val="9"/>
    <w:unhideWhenUsed/>
    <w:qFormat/>
    <w:rsid w:val="001B0C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C68"/>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1B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1B0C68"/>
    <w:rPr>
      <w:color w:val="0000FF"/>
      <w:u w:val="single"/>
    </w:rPr>
  </w:style>
  <w:style w:type="character" w:customStyle="1" w:styleId="3Char">
    <w:name w:val="标题 3 Char"/>
    <w:basedOn w:val="a0"/>
    <w:link w:val="3"/>
    <w:uiPriority w:val="9"/>
    <w:qFormat/>
    <w:rsid w:val="001B0C68"/>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4</DocSecurity>
  <Lines>10</Lines>
  <Paragraphs>3</Paragraphs>
  <ScaleCrop>false</ScaleCrop>
  <Company>mycompany</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2023-12-13T16:03:00Z</dcterms:created>
  <dcterms:modified xsi:type="dcterms:W3CDTF">2023-12-13T16:03:00Z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ACBDB796FC264661BE02520F251882F2</vt:lpwstr>
  </property>
</Properties>
</file>