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F" w:rsidRDefault="00A03ACF"/>
    <w:p w:rsidR="00A03ACF" w:rsidRDefault="008B0A5B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博时裕乾纯债债券型证券投资基金调整大额申购、转换转入、定期定额投资业务的公告</w:t>
      </w:r>
    </w:p>
    <w:p w:rsidR="00A03ACF" w:rsidRDefault="008B0A5B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9</w:t>
      </w:r>
      <w:r>
        <w:rPr>
          <w:rFonts w:ascii="宋体" w:eastAsia="宋体" w:hAnsi="宋体"/>
          <w:b/>
          <w:sz w:val="24"/>
        </w:rPr>
        <w:t>日</w:t>
      </w:r>
    </w:p>
    <w:p w:rsidR="00A03ACF" w:rsidRDefault="00A03ACF">
      <w:pPr>
        <w:jc w:val="center"/>
        <w:rPr>
          <w:rFonts w:ascii="宋体" w:eastAsia="宋体" w:hAnsi="宋体"/>
          <w:b/>
          <w:sz w:val="24"/>
        </w:rPr>
      </w:pPr>
    </w:p>
    <w:p w:rsidR="00A03ACF" w:rsidRDefault="008B0A5B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博时裕乾纯债债券型证券投资基金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博时裕乾纯债债券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002175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根据有关法律法规及《博时裕乾纯债债券型证券投资基金基金合同》、《博时裕乾纯债债券型证券投资基金招募说明书》等的规定</w:t>
            </w:r>
          </w:p>
        </w:tc>
      </w:tr>
      <w:tr w:rsidR="00A03ACF">
        <w:tc>
          <w:tcPr>
            <w:tcW w:w="2130" w:type="dxa"/>
            <w:vMerge w:val="restart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A03ACF">
        <w:tc>
          <w:tcPr>
            <w:tcW w:w="2130" w:type="dxa"/>
            <w:vMerge/>
            <w:vAlign w:val="center"/>
          </w:tcPr>
          <w:p w:rsidR="00A03ACF" w:rsidRDefault="00A03ACF"/>
        </w:tc>
        <w:tc>
          <w:tcPr>
            <w:tcW w:w="2130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调整大额申购、转换转入、定期定额投资的原因说明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博时裕乾纯债债券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博时裕乾纯债债券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002175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002404</w:t>
            </w:r>
          </w:p>
        </w:tc>
      </w:tr>
      <w:tr w:rsidR="00A03ACF">
        <w:tc>
          <w:tcPr>
            <w:tcW w:w="4260" w:type="dxa"/>
            <w:gridSpan w:val="2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该类基金份额是否调整大额申购、转换转入、定期定额投资业务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A03ACF" w:rsidRDefault="008B0A5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A03ACF" w:rsidRDefault="00A03ACF"/>
    <w:p w:rsidR="00A03ACF" w:rsidRDefault="008B0A5B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A03ACF" w:rsidRDefault="008B0A5B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）根据本基金管理人于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日发布的《博时裕乾纯债债券型证券投资基金调整大额申购、转换转入、定期定额投资业务的公告》，自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日起，本基金单日单个基金账户的申购、转换转入、定期定额投资累计金额应不超过</w:t>
      </w:r>
      <w:r>
        <w:rPr>
          <w:rFonts w:hint="eastAsia"/>
        </w:rPr>
        <w:t>5000</w:t>
      </w:r>
      <w:r>
        <w:rPr>
          <w:rFonts w:hint="eastAsia"/>
        </w:rPr>
        <w:t>万元（本基金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两类基金份额申请金额予以合计）；如本基金单日单个基金账户申购、转换转入、定期定额投资累计金额超过</w:t>
      </w:r>
      <w:r>
        <w:rPr>
          <w:rFonts w:hint="eastAsia"/>
        </w:rPr>
        <w:t>5000</w:t>
      </w:r>
      <w:r>
        <w:rPr>
          <w:rFonts w:hint="eastAsia"/>
        </w:rPr>
        <w:t>万元（本基金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两类基金份额申请金额予以合计），本基金管</w:t>
      </w:r>
      <w:r>
        <w:rPr>
          <w:rFonts w:hint="eastAsia"/>
        </w:rPr>
        <w:t>理人有权拒绝。</w:t>
      </w:r>
      <w:r>
        <w:rPr>
          <w:rFonts w:hint="eastAsia"/>
        </w:rPr>
        <w:t xml:space="preserve"> </w:t>
      </w:r>
    </w:p>
    <w:p w:rsidR="00A03ACF" w:rsidRDefault="008B0A5B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日起，本基金单日每个基金账户的申购、转换转入、定期定额投资累计金额应不超过</w:t>
      </w:r>
      <w:r>
        <w:rPr>
          <w:rFonts w:hint="eastAsia"/>
        </w:rPr>
        <w:t>500</w:t>
      </w:r>
      <w:r>
        <w:rPr>
          <w:rFonts w:hint="eastAsia"/>
        </w:rPr>
        <w:t>万元（本基金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两类基金份额申请金额予以合计）。如单日每个基金账户的申购、转换转入、定期定额投资累计金额超过</w:t>
      </w:r>
      <w:r>
        <w:rPr>
          <w:rFonts w:hint="eastAsia"/>
        </w:rPr>
        <w:t>500</w:t>
      </w:r>
      <w:r>
        <w:rPr>
          <w:rFonts w:hint="eastAsia"/>
        </w:rPr>
        <w:t>万元</w:t>
      </w:r>
      <w:r>
        <w:rPr>
          <w:rFonts w:asciiTheme="minorEastAsia" w:eastAsiaTheme="minorEastAsia" w:hAnsiTheme="minorEastAsia"/>
        </w:rPr>
        <w:t>（本基金</w:t>
      </w:r>
      <w:r>
        <w:rPr>
          <w:rFonts w:asciiTheme="minorEastAsia" w:eastAsiaTheme="minorEastAsia" w:hAnsiTheme="minorEastAsia"/>
        </w:rPr>
        <w:t>A,C</w:t>
      </w:r>
      <w:r>
        <w:rPr>
          <w:rFonts w:asciiTheme="minorEastAsia" w:eastAsiaTheme="minorEastAsia" w:hAnsiTheme="minorEastAsia"/>
        </w:rPr>
        <w:t>两类基金份额申请金额予以合计）</w:t>
      </w:r>
      <w:r>
        <w:rPr>
          <w:rFonts w:hint="eastAsia"/>
        </w:rPr>
        <w:t>，本基金管理人有权拒绝。</w:t>
      </w:r>
      <w:r>
        <w:rPr>
          <w:rFonts w:hint="eastAsia"/>
        </w:rPr>
        <w:t xml:space="preserve"> </w:t>
      </w:r>
      <w:bookmarkStart w:id="0" w:name="_GoBack"/>
      <w:bookmarkEnd w:id="0"/>
    </w:p>
    <w:p w:rsidR="00A03ACF" w:rsidRDefault="008B0A5B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A03ACF" w:rsidRDefault="008B0A5B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</w:t>
      </w:r>
      <w:r>
        <w:rPr>
          <w:rFonts w:hint="eastAsia"/>
        </w:rPr>
        <w:t>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A03ACF" w:rsidRDefault="008B0A5B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A03ACF" w:rsidRDefault="00A03ACF">
      <w:pPr>
        <w:pStyle w:val="a3"/>
        <w:spacing w:before="0" w:beforeAutospacing="0" w:after="0" w:afterAutospacing="0" w:line="360" w:lineRule="auto"/>
        <w:ind w:firstLine="420"/>
      </w:pPr>
    </w:p>
    <w:p w:rsidR="00A03ACF" w:rsidRDefault="00A03ACF">
      <w:pPr>
        <w:pStyle w:val="a3"/>
        <w:spacing w:before="0" w:beforeAutospacing="0" w:after="0" w:afterAutospacing="0" w:line="360" w:lineRule="auto"/>
        <w:ind w:firstLine="420"/>
      </w:pPr>
    </w:p>
    <w:p w:rsidR="00A03ACF" w:rsidRDefault="00A03ACF">
      <w:pPr>
        <w:pStyle w:val="a3"/>
        <w:spacing w:before="0" w:beforeAutospacing="0" w:after="0" w:afterAutospacing="0" w:line="360" w:lineRule="auto"/>
        <w:ind w:firstLine="420"/>
      </w:pPr>
    </w:p>
    <w:p w:rsidR="00A03ACF" w:rsidRDefault="008B0A5B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A03ACF" w:rsidRDefault="008B0A5B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12</w:t>
      </w:r>
      <w:r>
        <w:t>月</w:t>
      </w:r>
      <w:r>
        <w:t>9</w:t>
      </w:r>
      <w:r>
        <w:t>日</w:t>
      </w:r>
    </w:p>
    <w:p w:rsidR="00A03ACF" w:rsidRDefault="00A03ACF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A03ACF" w:rsidSect="00A0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941"/>
    <w:rsid w:val="00672941"/>
    <w:rsid w:val="006C6C6C"/>
    <w:rsid w:val="008B0A5B"/>
    <w:rsid w:val="00A03ACF"/>
    <w:rsid w:val="15B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3A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0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03ACF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4</DocSecurity>
  <Lines>7</Lines>
  <Paragraphs>2</Paragraphs>
  <ScaleCrop>false</ScaleCrop>
  <Company>mycompany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2023-12-08T16:02:00Z</dcterms:created>
  <dcterms:modified xsi:type="dcterms:W3CDTF">2023-12-08T16:02:00Z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5CD4CED3708440008DA48639DFB5E198</vt:lpwstr>
  </property>
</Properties>
</file>