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30" w:rsidRDefault="00932E30">
      <w:pPr>
        <w:spacing w:line="360" w:lineRule="auto"/>
        <w:jc w:val="center"/>
        <w:rPr>
          <w:rFonts w:hint="eastAsia"/>
          <w:b/>
          <w:sz w:val="24"/>
        </w:rPr>
      </w:pPr>
      <w:r>
        <w:rPr>
          <w:rFonts w:hint="eastAsia"/>
          <w:b/>
          <w:sz w:val="24"/>
        </w:rPr>
        <w:t>国联安基金管理有限公司关于旗下</w:t>
      </w:r>
      <w:r w:rsidR="007E1EB9">
        <w:rPr>
          <w:rFonts w:hint="eastAsia"/>
          <w:b/>
          <w:sz w:val="24"/>
        </w:rPr>
        <w:t>部分</w:t>
      </w:r>
      <w:r w:rsidR="0075305D" w:rsidRPr="0075305D">
        <w:rPr>
          <w:rFonts w:hint="eastAsia"/>
          <w:b/>
          <w:sz w:val="24"/>
        </w:rPr>
        <w:t>基金</w:t>
      </w:r>
      <w:r>
        <w:rPr>
          <w:rFonts w:hint="eastAsia"/>
          <w:b/>
          <w:sz w:val="24"/>
        </w:rPr>
        <w:t>增加</w:t>
      </w:r>
      <w:r w:rsidR="00691528">
        <w:rPr>
          <w:rFonts w:ascii="宋体" w:hAnsi="宋体" w:hint="eastAsia"/>
          <w:b/>
          <w:sz w:val="24"/>
        </w:rPr>
        <w:t>华福</w:t>
      </w:r>
      <w:r w:rsidR="00F94A06">
        <w:rPr>
          <w:rFonts w:ascii="宋体" w:hAnsi="宋体" w:hint="eastAsia"/>
          <w:b/>
          <w:sz w:val="24"/>
        </w:rPr>
        <w:t>证券</w:t>
      </w:r>
      <w:r>
        <w:rPr>
          <w:rFonts w:hint="eastAsia"/>
          <w:b/>
          <w:sz w:val="24"/>
        </w:rPr>
        <w:t>为代销机构</w:t>
      </w:r>
      <w:r w:rsidR="00072DC7" w:rsidRPr="00072DC7">
        <w:rPr>
          <w:rFonts w:hint="eastAsia"/>
          <w:b/>
          <w:sz w:val="24"/>
        </w:rPr>
        <w:t>的公告</w:t>
      </w:r>
    </w:p>
    <w:p w:rsidR="00932E30" w:rsidRDefault="00932E30">
      <w:pPr>
        <w:jc w:val="center"/>
        <w:rPr>
          <w:rFonts w:hint="eastAsia"/>
          <w:b/>
          <w:sz w:val="24"/>
        </w:rPr>
      </w:pPr>
    </w:p>
    <w:p w:rsidR="00932E30" w:rsidRDefault="00932E30">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bookmarkStart w:id="0" w:name="_Hlk143261415"/>
      <w:r w:rsidR="00691528">
        <w:rPr>
          <w:rFonts w:ascii="Arial" w:cs="Arial" w:hint="eastAsia"/>
          <w:szCs w:val="21"/>
        </w:rPr>
        <w:t>华福</w:t>
      </w:r>
      <w:r w:rsidR="0075305D" w:rsidRPr="0075305D">
        <w:rPr>
          <w:rFonts w:ascii="Arial" w:cs="Arial" w:hint="eastAsia"/>
          <w:szCs w:val="21"/>
        </w:rPr>
        <w:t>证券</w:t>
      </w:r>
      <w:r w:rsidR="00991D78">
        <w:rPr>
          <w:rFonts w:ascii="Arial" w:cs="Arial" w:hint="eastAsia"/>
          <w:szCs w:val="21"/>
        </w:rPr>
        <w:t>股份</w:t>
      </w:r>
      <w:r w:rsidR="0075305D" w:rsidRPr="0075305D">
        <w:rPr>
          <w:rFonts w:ascii="Arial" w:cs="Arial" w:hint="eastAsia"/>
          <w:szCs w:val="21"/>
        </w:rPr>
        <w:t>有限公司</w:t>
      </w:r>
      <w:bookmarkEnd w:id="0"/>
      <w:r>
        <w:rPr>
          <w:rFonts w:ascii="Arial" w:cs="Arial"/>
          <w:szCs w:val="21"/>
        </w:rPr>
        <w:t>（以下简称</w:t>
      </w:r>
      <w:r>
        <w:rPr>
          <w:rFonts w:ascii="Arial" w:hAnsi="Arial" w:cs="Arial" w:hint="eastAsia"/>
          <w:szCs w:val="21"/>
        </w:rPr>
        <w:t>“</w:t>
      </w:r>
      <w:r w:rsidR="00691528">
        <w:rPr>
          <w:rFonts w:ascii="Arial" w:cs="Arial" w:hint="eastAsia"/>
          <w:szCs w:val="21"/>
        </w:rPr>
        <w:t>华福</w:t>
      </w:r>
      <w:r w:rsidR="0075305D">
        <w:rPr>
          <w:rFonts w:ascii="Arial" w:cs="Arial" w:hint="eastAsia"/>
          <w:szCs w:val="21"/>
        </w:rPr>
        <w:t>证券</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w:t>
      </w:r>
      <w:r w:rsidR="009039AC">
        <w:rPr>
          <w:rFonts w:ascii="Arial" w:hAnsi="Arial" w:cs="Arial" w:hint="eastAsia"/>
          <w:szCs w:val="21"/>
        </w:rPr>
        <w:t>3</w:t>
      </w:r>
      <w:r>
        <w:rPr>
          <w:rFonts w:ascii="Arial" w:cs="Arial"/>
          <w:szCs w:val="21"/>
        </w:rPr>
        <w:t>年</w:t>
      </w:r>
      <w:r w:rsidR="00991D78">
        <w:rPr>
          <w:rFonts w:ascii="Arial" w:cs="Arial" w:hint="eastAsia"/>
          <w:szCs w:val="21"/>
        </w:rPr>
        <w:t>1</w:t>
      </w:r>
      <w:r w:rsidR="00DB0B8A">
        <w:rPr>
          <w:rFonts w:ascii="Arial" w:cs="Arial" w:hint="eastAsia"/>
          <w:szCs w:val="21"/>
        </w:rPr>
        <w:t>2</w:t>
      </w:r>
      <w:r>
        <w:rPr>
          <w:rFonts w:ascii="Arial" w:cs="Arial"/>
          <w:szCs w:val="21"/>
        </w:rPr>
        <w:t>月</w:t>
      </w:r>
      <w:r w:rsidR="00816BA5">
        <w:rPr>
          <w:rFonts w:ascii="Arial" w:cs="Arial" w:hint="eastAsia"/>
          <w:szCs w:val="21"/>
        </w:rPr>
        <w:t>7</w:t>
      </w:r>
      <w:r>
        <w:rPr>
          <w:rFonts w:ascii="Arial" w:cs="Arial"/>
          <w:szCs w:val="21"/>
        </w:rPr>
        <w:t>日起，</w:t>
      </w:r>
      <w:r>
        <w:rPr>
          <w:rFonts w:ascii="Arial" w:cs="Arial" w:hint="eastAsia"/>
          <w:szCs w:val="21"/>
        </w:rPr>
        <w:t>增加</w:t>
      </w:r>
      <w:r w:rsidR="00691528">
        <w:rPr>
          <w:rFonts w:ascii="Arial" w:cs="Arial" w:hint="eastAsia"/>
          <w:szCs w:val="21"/>
        </w:rPr>
        <w:t>华福</w:t>
      </w:r>
      <w:r w:rsidR="0075305D">
        <w:rPr>
          <w:rFonts w:ascii="Arial" w:cs="Arial" w:hint="eastAsia"/>
          <w:szCs w:val="21"/>
        </w:rPr>
        <w:t>证券</w:t>
      </w:r>
      <w:r>
        <w:rPr>
          <w:rFonts w:ascii="Arial" w:hAnsi="Arial" w:cs="Arial" w:hint="eastAsia"/>
          <w:szCs w:val="21"/>
        </w:rPr>
        <w:t>为本公司旗下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hint="eastAsia"/>
          <w:szCs w:val="21"/>
        </w:rPr>
        <w:t>的销售机构</w:t>
      </w:r>
      <w:r>
        <w:rPr>
          <w:rFonts w:ascii="Arial" w:cs="Arial"/>
          <w:szCs w:val="21"/>
        </w:rPr>
        <w:t>。</w:t>
      </w:r>
      <w:r>
        <w:rPr>
          <w:rFonts w:ascii="Arial" w:cs="Arial" w:hint="eastAsia"/>
          <w:szCs w:val="21"/>
        </w:rPr>
        <w:t>现就有关事项公告如下：</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szCs w:val="21"/>
        </w:rPr>
      </w:pPr>
      <w:r>
        <w:rPr>
          <w:rFonts w:ascii="Arial" w:cs="Arial"/>
          <w:szCs w:val="21"/>
        </w:rPr>
        <w:t>一、业务范围</w:t>
      </w:r>
    </w:p>
    <w:p w:rsidR="00932E30" w:rsidRDefault="00932E30">
      <w:pPr>
        <w:spacing w:line="360" w:lineRule="auto"/>
        <w:ind w:firstLineChars="200" w:firstLine="420"/>
        <w:rPr>
          <w:rFonts w:ascii="Arial" w:cs="Arial"/>
          <w:szCs w:val="21"/>
        </w:rPr>
      </w:pPr>
      <w:r w:rsidRPr="00584EC5">
        <w:rPr>
          <w:rFonts w:ascii="Arial" w:cs="Arial"/>
          <w:szCs w:val="21"/>
        </w:rPr>
        <w:t>投资者可在</w:t>
      </w:r>
      <w:r w:rsidR="00691528">
        <w:rPr>
          <w:rFonts w:ascii="Arial" w:cs="Arial" w:hint="eastAsia"/>
          <w:szCs w:val="21"/>
        </w:rPr>
        <w:t>华福</w:t>
      </w:r>
      <w:r w:rsidR="0075305D">
        <w:rPr>
          <w:rFonts w:ascii="Arial" w:cs="Arial" w:hint="eastAsia"/>
          <w:szCs w:val="21"/>
        </w:rPr>
        <w:t>证券</w:t>
      </w:r>
      <w:r w:rsidRPr="00584EC5">
        <w:rPr>
          <w:rFonts w:ascii="Arial" w:cs="Arial"/>
          <w:szCs w:val="21"/>
        </w:rPr>
        <w:t>的营业网点办理下述基金的申购、赎回、</w:t>
      </w:r>
      <w:r w:rsidRPr="00584EC5">
        <w:rPr>
          <w:rFonts w:ascii="Arial" w:cs="Arial" w:hint="eastAsia"/>
          <w:szCs w:val="21"/>
        </w:rPr>
        <w:t>定期定额投资</w:t>
      </w:r>
      <w:r w:rsidR="00584EC5" w:rsidRPr="00584EC5">
        <w:rPr>
          <w:rFonts w:ascii="Arial" w:cs="Arial" w:hint="eastAsia"/>
          <w:szCs w:val="21"/>
        </w:rPr>
        <w:t>、转换</w:t>
      </w:r>
      <w:r w:rsidRPr="00584EC5">
        <w:rPr>
          <w:rFonts w:ascii="Arial" w:cs="Arial"/>
          <w:szCs w:val="21"/>
        </w:rPr>
        <w:t>等相关业务：</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国联安鸿利短债债券型证券投资基金（基金简称：国联安鸿利短债债券；基金代码：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016940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016941</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国联安上证科创板</w:t>
      </w:r>
      <w:r w:rsidRPr="00966536">
        <w:rPr>
          <w:rFonts w:ascii="Arial" w:cs="Arial" w:hint="eastAsia"/>
          <w:szCs w:val="21"/>
        </w:rPr>
        <w:t>50</w:t>
      </w:r>
      <w:r w:rsidRPr="00966536">
        <w:rPr>
          <w:rFonts w:ascii="Arial" w:cs="Arial" w:hint="eastAsia"/>
          <w:szCs w:val="21"/>
        </w:rPr>
        <w:t>成份交易型开放式指数证券投资基金联接基金（基金简称：国联安上证科创</w:t>
      </w:r>
      <w:r w:rsidRPr="00966536">
        <w:rPr>
          <w:rFonts w:ascii="Arial" w:cs="Arial" w:hint="eastAsia"/>
          <w:szCs w:val="21"/>
        </w:rPr>
        <w:t>50ETF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013893</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013894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国联安睿祺灵活配置混合型证券投资基金（基金简称：国联安睿祺灵活配置混合；基金代码：</w:t>
      </w:r>
      <w:r w:rsidRPr="00966536">
        <w:rPr>
          <w:rFonts w:ascii="Arial" w:cs="Arial" w:hint="eastAsia"/>
          <w:szCs w:val="21"/>
        </w:rPr>
        <w:t>001157</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国联安安泰灵活配置混合型证券投资基金（基金简称：国联安安泰灵活配置混合；基金代码：</w:t>
      </w:r>
      <w:r w:rsidRPr="00966536">
        <w:rPr>
          <w:rFonts w:ascii="Arial" w:cs="Arial" w:hint="eastAsia"/>
          <w:szCs w:val="21"/>
        </w:rPr>
        <w:t>000058</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国联安通盈灵活配置混合型证券投资基金（基金简称：国联安通盈混合；基金代码：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000664</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002485</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国联安沪深</w:t>
      </w:r>
      <w:r w:rsidRPr="00966536">
        <w:rPr>
          <w:rFonts w:ascii="Arial" w:cs="Arial" w:hint="eastAsia"/>
          <w:szCs w:val="21"/>
        </w:rPr>
        <w:t>300</w:t>
      </w:r>
      <w:r w:rsidRPr="00966536">
        <w:rPr>
          <w:rFonts w:ascii="Arial" w:cs="Arial" w:hint="eastAsia"/>
          <w:szCs w:val="21"/>
        </w:rPr>
        <w:t>交易型开放式指数证券投资基金联接基金（基金简称：国联安沪深</w:t>
      </w:r>
      <w:r w:rsidRPr="00966536">
        <w:rPr>
          <w:rFonts w:ascii="Arial" w:cs="Arial" w:hint="eastAsia"/>
          <w:szCs w:val="21"/>
        </w:rPr>
        <w:t>300ETF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008390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008391</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国联安中证全指半导体产品与设备交易型开放式指数证券投资基金联接基金（基金简称：国联安中证全指半导体产品与设备</w:t>
      </w:r>
      <w:r w:rsidRPr="00966536">
        <w:rPr>
          <w:rFonts w:ascii="Arial" w:cs="Arial" w:hint="eastAsia"/>
          <w:szCs w:val="21"/>
        </w:rPr>
        <w:t>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007300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007301</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国联安中证医药</w:t>
      </w:r>
      <w:r w:rsidRPr="00966536">
        <w:rPr>
          <w:rFonts w:ascii="Arial" w:cs="Arial" w:hint="eastAsia"/>
          <w:szCs w:val="21"/>
        </w:rPr>
        <w:t>100</w:t>
      </w:r>
      <w:r w:rsidRPr="00966536">
        <w:rPr>
          <w:rFonts w:ascii="Arial" w:cs="Arial" w:hint="eastAsia"/>
          <w:szCs w:val="21"/>
        </w:rPr>
        <w:t>指数证券投资基金（基金简称：国联安医药</w:t>
      </w:r>
      <w:r w:rsidRPr="00966536">
        <w:rPr>
          <w:rFonts w:ascii="Arial" w:cs="Arial" w:hint="eastAsia"/>
          <w:szCs w:val="21"/>
        </w:rPr>
        <w:t>100</w:t>
      </w:r>
      <w:r w:rsidRPr="00966536">
        <w:rPr>
          <w:rFonts w:ascii="Arial" w:cs="Arial" w:hint="eastAsia"/>
          <w:szCs w:val="21"/>
        </w:rPr>
        <w:t>指数；基金代码：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000059</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006569</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国联安添利增长债券型证券投资基金（基金简称：国联安添利增长债券；基金代码：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003275</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003276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国联安核心优势混合型证券投资基金（基金简称：国联安核心优势混合；基金代码：</w:t>
      </w:r>
      <w:r w:rsidRPr="00966536">
        <w:rPr>
          <w:rFonts w:ascii="Arial" w:cs="Arial" w:hint="eastAsia"/>
          <w:szCs w:val="21"/>
        </w:rPr>
        <w:t>011994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lastRenderedPageBreak/>
        <w:t>国联安新科技混合型证券投资基金（基金简称：国联安新科技混合；基金代码：</w:t>
      </w:r>
      <w:r w:rsidRPr="00966536">
        <w:rPr>
          <w:rFonts w:ascii="Arial" w:cs="Arial" w:hint="eastAsia"/>
          <w:szCs w:val="21"/>
        </w:rPr>
        <w:t>007305</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国联安鑫发混合型证券投资基金（基金简称：国联安鑫发混合；基金代码：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004131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004132</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国联安鑫享灵活配置混合型证券投资基金（基金简称：国联安鑫享灵活配置混合；基金代码：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001228</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002186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国联安科技动力股票型证券投资基金（基金简称：国联安科技动力股票；基金代码：</w:t>
      </w:r>
      <w:r w:rsidRPr="00966536">
        <w:rPr>
          <w:rFonts w:ascii="Arial" w:cs="Arial" w:hint="eastAsia"/>
          <w:szCs w:val="21"/>
        </w:rPr>
        <w:t>001956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国联安远见成长混合型证券投资基金（基金简称：国联安远见成长混合；基金代码：</w:t>
      </w:r>
      <w:r w:rsidRPr="00966536">
        <w:rPr>
          <w:rFonts w:ascii="Arial" w:cs="Arial" w:hint="eastAsia"/>
          <w:szCs w:val="21"/>
        </w:rPr>
        <w:t>005708</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国联安核心资产策略混合型证券投资基金（基金简称：国联安核心资产混合；基金代码：</w:t>
      </w:r>
      <w:r w:rsidRPr="00966536">
        <w:rPr>
          <w:rFonts w:ascii="Arial" w:cs="Arial" w:hint="eastAsia"/>
          <w:szCs w:val="21"/>
        </w:rPr>
        <w:t>006864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国联安鑫乾混合型证券投资基金（基金简称：国联安鑫乾混合；基金代码：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004081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004082</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国联安锐意成长混合型证券投资基金（基金简称：国联安锐意成长混合；基金代码：</w:t>
      </w:r>
      <w:r w:rsidRPr="00966536">
        <w:rPr>
          <w:rFonts w:ascii="Arial" w:cs="Arial" w:hint="eastAsia"/>
          <w:szCs w:val="21"/>
        </w:rPr>
        <w:t>004076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国联安鑫稳</w:t>
      </w:r>
      <w:r w:rsidRPr="00966536">
        <w:rPr>
          <w:rFonts w:ascii="Arial" w:cs="Arial" w:hint="eastAsia"/>
          <w:szCs w:val="21"/>
        </w:rPr>
        <w:t>3</w:t>
      </w:r>
      <w:r w:rsidRPr="00966536">
        <w:rPr>
          <w:rFonts w:ascii="Arial" w:cs="Arial" w:hint="eastAsia"/>
          <w:szCs w:val="21"/>
        </w:rPr>
        <w:t>个月持有期混合型证券投资基金（基金简称：国联安鑫稳</w:t>
      </w:r>
      <w:r w:rsidRPr="00966536">
        <w:rPr>
          <w:rFonts w:ascii="Arial" w:cs="Arial" w:hint="eastAsia"/>
          <w:szCs w:val="21"/>
        </w:rPr>
        <w:t>3</w:t>
      </w:r>
      <w:r w:rsidRPr="00966536">
        <w:rPr>
          <w:rFonts w:ascii="Arial" w:cs="Arial" w:hint="eastAsia"/>
          <w:szCs w:val="21"/>
        </w:rPr>
        <w:t>个月持有混合；基金代码：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010817</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010818</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国联安恒利</w:t>
      </w:r>
      <w:r w:rsidRPr="00966536">
        <w:rPr>
          <w:rFonts w:ascii="Arial" w:cs="Arial" w:hint="eastAsia"/>
          <w:szCs w:val="21"/>
        </w:rPr>
        <w:t>63</w:t>
      </w:r>
      <w:r w:rsidRPr="00966536">
        <w:rPr>
          <w:rFonts w:ascii="Arial" w:cs="Arial" w:hint="eastAsia"/>
          <w:szCs w:val="21"/>
        </w:rPr>
        <w:t>个月定期开放债券型证券投资基金（基金简称：国联安恒利</w:t>
      </w:r>
      <w:r w:rsidRPr="00966536">
        <w:rPr>
          <w:rFonts w:ascii="Arial" w:cs="Arial" w:hint="eastAsia"/>
          <w:szCs w:val="21"/>
        </w:rPr>
        <w:t>63</w:t>
      </w:r>
      <w:r w:rsidRPr="00966536">
        <w:rPr>
          <w:rFonts w:ascii="Arial" w:cs="Arial" w:hint="eastAsia"/>
          <w:szCs w:val="21"/>
        </w:rPr>
        <w:t>个月定开债券；基金代码：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007999</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008000</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国联安智能制造混合型证券投资基金（基金简称：国联安智能制造混合；基金代码：</w:t>
      </w:r>
      <w:r w:rsidRPr="00966536">
        <w:rPr>
          <w:rFonts w:ascii="Arial" w:cs="Arial" w:hint="eastAsia"/>
          <w:szCs w:val="21"/>
        </w:rPr>
        <w:t>006863</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国联安新精选灵活配置混合型证券投资基金（基金简称：国联安新精选混合；基金代码：</w:t>
      </w:r>
      <w:r w:rsidRPr="00966536">
        <w:rPr>
          <w:rFonts w:ascii="Arial" w:cs="Arial" w:hint="eastAsia"/>
          <w:szCs w:val="21"/>
        </w:rPr>
        <w:t>000417</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国联安添鑫灵活配置混合型证券投资基金（基金简称：国联安添鑫灵活配置混合；基金代码：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001359</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001654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w:t>
      </w:r>
      <w:r w:rsidRPr="00966536">
        <w:rPr>
          <w:rFonts w:ascii="Arial" w:cs="Arial" w:hint="eastAsia"/>
          <w:szCs w:val="21"/>
        </w:rPr>
        <w:t>6</w:t>
      </w:r>
      <w:r w:rsidRPr="00966536">
        <w:rPr>
          <w:rFonts w:ascii="Arial" w:cs="Arial" w:hint="eastAsia"/>
          <w:szCs w:val="21"/>
        </w:rPr>
        <w:t>个月定期开放债券型证券投资基金（基金简称：国联安</w:t>
      </w:r>
      <w:r w:rsidRPr="00966536">
        <w:rPr>
          <w:rFonts w:ascii="Arial" w:cs="Arial" w:hint="eastAsia"/>
          <w:szCs w:val="21"/>
        </w:rPr>
        <w:t>6</w:t>
      </w:r>
      <w:r w:rsidRPr="00966536">
        <w:rPr>
          <w:rFonts w:ascii="Arial" w:cs="Arial" w:hint="eastAsia"/>
          <w:szCs w:val="21"/>
        </w:rPr>
        <w:t>个月定开债；基金代码：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007701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007702</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国联安行业领先混合型证券投资基金（基金简称：国联安行业领先混合；基金代码：</w:t>
      </w:r>
      <w:r w:rsidRPr="00966536">
        <w:rPr>
          <w:rFonts w:ascii="Arial" w:cs="Arial" w:hint="eastAsia"/>
          <w:szCs w:val="21"/>
        </w:rPr>
        <w:t>006568</w:t>
      </w:r>
      <w:r w:rsidRPr="00966536">
        <w:rPr>
          <w:rFonts w:ascii="Arial" w:cs="Arial" w:hint="eastAsia"/>
          <w:szCs w:val="21"/>
        </w:rPr>
        <w:t>）</w:t>
      </w:r>
    </w:p>
    <w:p w:rsidR="00966536" w:rsidRDefault="00966536" w:rsidP="00966536">
      <w:pPr>
        <w:spacing w:line="360" w:lineRule="auto"/>
        <w:ind w:firstLineChars="200" w:firstLine="420"/>
        <w:rPr>
          <w:rFonts w:ascii="Arial" w:cs="Arial"/>
          <w:szCs w:val="21"/>
        </w:rPr>
      </w:pPr>
      <w:r w:rsidRPr="00966536">
        <w:rPr>
          <w:rFonts w:ascii="Arial" w:cs="Arial" w:hint="eastAsia"/>
          <w:szCs w:val="21"/>
        </w:rPr>
        <w:t>国联安鑫安灵活配置混合型证券投资基金（基金简称：国联安鑫安灵活配置混合；基金</w:t>
      </w:r>
      <w:r w:rsidRPr="00966536">
        <w:rPr>
          <w:rFonts w:ascii="Arial" w:cs="Arial" w:hint="eastAsia"/>
          <w:szCs w:val="21"/>
        </w:rPr>
        <w:lastRenderedPageBreak/>
        <w:t>代码：</w:t>
      </w:r>
      <w:r w:rsidRPr="00966536">
        <w:rPr>
          <w:rFonts w:ascii="Arial" w:cs="Arial" w:hint="eastAsia"/>
          <w:szCs w:val="21"/>
        </w:rPr>
        <w:t>001007</w:t>
      </w:r>
      <w:r w:rsidRPr="00966536">
        <w:rPr>
          <w:rFonts w:ascii="Arial" w:cs="Arial" w:hint="eastAsia"/>
          <w:szCs w:val="21"/>
        </w:rPr>
        <w:t>）</w:t>
      </w:r>
    </w:p>
    <w:p w:rsidR="00966536" w:rsidRDefault="00966536" w:rsidP="00966536">
      <w:pPr>
        <w:spacing w:line="360" w:lineRule="auto"/>
        <w:ind w:firstLineChars="200" w:firstLine="420"/>
        <w:rPr>
          <w:rFonts w:ascii="Arial" w:cs="Arial"/>
          <w:szCs w:val="21"/>
        </w:rPr>
      </w:pPr>
      <w:r w:rsidRPr="00966536">
        <w:rPr>
          <w:rFonts w:ascii="Arial" w:cs="Arial" w:hint="eastAsia"/>
          <w:szCs w:val="21"/>
        </w:rPr>
        <w:t>国联安短债债券型证券投资基金（基金简称：国联安短债债券；基金代码：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008108</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008109</w:t>
      </w:r>
      <w:r w:rsidRPr="00966536">
        <w:rPr>
          <w:rFonts w:ascii="Arial" w:cs="Arial" w:hint="eastAsia"/>
          <w:szCs w:val="21"/>
        </w:rPr>
        <w:t>）</w:t>
      </w:r>
    </w:p>
    <w:p w:rsidR="00966536" w:rsidRPr="00966536" w:rsidRDefault="00816BA5" w:rsidP="00966536">
      <w:pPr>
        <w:spacing w:line="360" w:lineRule="auto"/>
        <w:ind w:firstLineChars="200" w:firstLine="420"/>
        <w:rPr>
          <w:rFonts w:ascii="Arial" w:cs="Arial" w:hint="eastAsia"/>
          <w:szCs w:val="21"/>
        </w:rPr>
      </w:pPr>
      <w:r w:rsidRPr="00816BA5">
        <w:rPr>
          <w:rFonts w:ascii="Arial" w:cs="Arial" w:hint="eastAsia"/>
          <w:szCs w:val="21"/>
        </w:rPr>
        <w:t>国联安聚利</w:t>
      </w:r>
      <w:r w:rsidRPr="00816BA5">
        <w:rPr>
          <w:rFonts w:ascii="Arial" w:cs="Arial" w:hint="eastAsia"/>
          <w:szCs w:val="21"/>
        </w:rPr>
        <w:t>39</w:t>
      </w:r>
      <w:r w:rsidRPr="00816BA5">
        <w:rPr>
          <w:rFonts w:ascii="Arial" w:cs="Arial" w:hint="eastAsia"/>
          <w:szCs w:val="21"/>
        </w:rPr>
        <w:t>个月封闭式纯债债券型证券投资基金</w:t>
      </w:r>
      <w:r w:rsidRPr="00966536">
        <w:rPr>
          <w:rFonts w:ascii="Arial" w:cs="Arial" w:hint="eastAsia"/>
          <w:szCs w:val="21"/>
        </w:rPr>
        <w:t>（基金简称：</w:t>
      </w:r>
      <w:r w:rsidRPr="00816BA5">
        <w:rPr>
          <w:rFonts w:ascii="Arial" w:cs="Arial" w:hint="eastAsia"/>
          <w:szCs w:val="21"/>
        </w:rPr>
        <w:t>国联安聚利</w:t>
      </w:r>
      <w:r w:rsidRPr="00816BA5">
        <w:rPr>
          <w:rFonts w:ascii="Arial" w:cs="Arial" w:hint="eastAsia"/>
          <w:szCs w:val="21"/>
        </w:rPr>
        <w:t>39</w:t>
      </w:r>
      <w:r w:rsidRPr="00816BA5">
        <w:rPr>
          <w:rFonts w:ascii="Arial" w:cs="Arial" w:hint="eastAsia"/>
          <w:szCs w:val="21"/>
        </w:rPr>
        <w:t>个月封闭式债券</w:t>
      </w:r>
      <w:r w:rsidRPr="00966536">
        <w:rPr>
          <w:rFonts w:ascii="Arial" w:cs="Arial" w:hint="eastAsia"/>
          <w:szCs w:val="21"/>
        </w:rPr>
        <w:t>；基金代码：</w:t>
      </w:r>
      <w:r w:rsidRPr="00966536">
        <w:rPr>
          <w:rFonts w:ascii="Arial" w:cs="Arial" w:hint="eastAsia"/>
          <w:szCs w:val="21"/>
        </w:rPr>
        <w:t>0</w:t>
      </w:r>
      <w:r>
        <w:rPr>
          <w:rFonts w:ascii="Arial" w:cs="Arial" w:hint="eastAsia"/>
          <w:szCs w:val="21"/>
        </w:rPr>
        <w:t>17793</w:t>
      </w:r>
      <w:r w:rsidRPr="00966536">
        <w:rPr>
          <w:rFonts w:ascii="Arial" w:cs="Arial" w:hint="eastAsia"/>
          <w:szCs w:val="21"/>
        </w:rPr>
        <w:t>）</w:t>
      </w:r>
    </w:p>
    <w:p w:rsidR="008F2477" w:rsidRPr="007E1EB9"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国联安增瑞政策性金融债纯债债券型证券投资基金（基金简称：国联安增瑞政金债债券；基金代码：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007371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007372</w:t>
      </w:r>
      <w:r w:rsidRPr="00966536">
        <w:rPr>
          <w:rFonts w:ascii="Arial" w:cs="Arial" w:hint="eastAsia"/>
          <w:szCs w:val="21"/>
        </w:rPr>
        <w:t>）</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投资者可到</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营业网点或通过</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认可的受理方式办理定投业务申请。具体受理网点或受理方式见</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各分支机构的公告。</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进行日常申购业务的受理时间相同。</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各营业网点或</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认可的受理方式申请增开交易账号（已在</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开户者除外），并申请办理定投业务，具体办理程序请遵循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投资者须遵循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的基金定投业务规则，指定本人的人民币结算账户作为扣款账户，根据</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规定的日期进行定期扣款。</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投资者应与</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就相关基金申请开办定投业务约定每月固定扣款金额，具体最低申购金额遵循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认可的受理方式申请办理业务变更，具体办理程序遵循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申请办理业务终止，具体办理程序遵循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的有关规定。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的具体规定。</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sidRPr="00584EC5">
        <w:rPr>
          <w:rFonts w:ascii="Arial" w:hAnsi="Arial" w:cs="Arial" w:hint="eastAsia"/>
          <w:szCs w:val="21"/>
        </w:rPr>
        <w:t>三、转换业务规则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932E30" w:rsidRDefault="00932E30" w:rsidP="00946BDA">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具体可办理转换业务的本公司旗下基金，为</w:t>
      </w:r>
      <w:r w:rsidR="00691528">
        <w:rPr>
          <w:rFonts w:ascii="Arial" w:hAnsi="Arial" w:cs="Arial" w:hint="eastAsia"/>
          <w:szCs w:val="21"/>
        </w:rPr>
        <w:t>华福</w:t>
      </w:r>
      <w:r w:rsidR="0075305D">
        <w:rPr>
          <w:rFonts w:ascii="Arial" w:hAnsi="Arial" w:cs="Arial" w:hint="eastAsia"/>
          <w:szCs w:val="21"/>
        </w:rPr>
        <w:t>证券</w:t>
      </w:r>
      <w:r>
        <w:rPr>
          <w:rFonts w:ascii="Arial" w:hAnsi="Arial" w:cs="Arial" w:hint="eastAsia"/>
          <w:szCs w:val="21"/>
        </w:rPr>
        <w:t>已销售并开通转换业务的基金。</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7D7899" w:rsidRDefault="007D7899" w:rsidP="0077612A">
      <w:pPr>
        <w:spacing w:line="360" w:lineRule="auto"/>
        <w:rPr>
          <w:rFonts w:ascii="Arial" w:hAnsi="Arial" w:cs="Arial"/>
          <w:szCs w:val="21"/>
        </w:rPr>
      </w:pPr>
      <w:r>
        <w:rPr>
          <w:rFonts w:ascii="Arial" w:hAnsi="Arial" w:cs="Arial" w:hint="eastAsia"/>
          <w:szCs w:val="21"/>
        </w:rPr>
        <w:t xml:space="preserve"> </w:t>
      </w:r>
      <w:r>
        <w:rPr>
          <w:rFonts w:ascii="Arial" w:hAnsi="Arial" w:cs="Arial"/>
          <w:szCs w:val="21"/>
        </w:rPr>
        <w:t xml:space="preserve">  </w:t>
      </w:r>
    </w:p>
    <w:p w:rsidR="00932E30" w:rsidRDefault="00932E30">
      <w:pPr>
        <w:spacing w:line="360" w:lineRule="auto"/>
        <w:ind w:firstLineChars="100" w:firstLine="210"/>
        <w:rPr>
          <w:rFonts w:ascii="Arial" w:hAnsi="Arial" w:cs="Arial"/>
          <w:szCs w:val="21"/>
        </w:rPr>
      </w:pPr>
      <w:r>
        <w:rPr>
          <w:rFonts w:ascii="Arial" w:hAnsi="Arial" w:cs="Arial" w:hint="eastAsia"/>
          <w:szCs w:val="21"/>
        </w:rPr>
        <w:t xml:space="preserve">  </w:t>
      </w:r>
      <w:r w:rsidR="0077612A">
        <w:rPr>
          <w:rFonts w:ascii="Arial" w:hAnsi="Arial" w:cs="Arial" w:hint="eastAsia"/>
          <w:szCs w:val="21"/>
        </w:rPr>
        <w:t>四</w:t>
      </w:r>
      <w:r>
        <w:rPr>
          <w:rFonts w:ascii="Arial" w:hAnsi="Arial" w:cs="Arial"/>
          <w:szCs w:val="21"/>
        </w:rPr>
        <w:t>、投资者可以通过以下途径了解或咨询相关详情</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932E30" w:rsidRDefault="00932E30">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932E30" w:rsidRDefault="00932E30">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932E30" w:rsidRDefault="00932E30">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sidR="00691528">
        <w:rPr>
          <w:rFonts w:ascii="Arial" w:hAnsi="Arial" w:cs="Arial" w:hint="eastAsia"/>
          <w:szCs w:val="21"/>
        </w:rPr>
        <w:t>华福</w:t>
      </w:r>
      <w:r w:rsidR="00655EF6" w:rsidRPr="00655EF6">
        <w:rPr>
          <w:rFonts w:ascii="Arial" w:hAnsi="Arial" w:cs="Arial" w:hint="eastAsia"/>
          <w:szCs w:val="21"/>
        </w:rPr>
        <w:t>证券</w:t>
      </w:r>
      <w:r w:rsidR="00991D78">
        <w:rPr>
          <w:rFonts w:ascii="Arial" w:hAnsi="Arial" w:cs="Arial" w:hint="eastAsia"/>
          <w:szCs w:val="21"/>
        </w:rPr>
        <w:t>股份</w:t>
      </w:r>
      <w:r w:rsidR="00655EF6" w:rsidRPr="00655EF6">
        <w:rPr>
          <w:rFonts w:ascii="Arial" w:hAnsi="Arial" w:cs="Arial" w:hint="eastAsia"/>
          <w:szCs w:val="21"/>
        </w:rPr>
        <w:t>有限公司</w:t>
      </w:r>
      <w:r>
        <w:rPr>
          <w:rFonts w:ascii="Arial" w:hAnsi="Arial" w:cs="Arial" w:hint="eastAsia"/>
          <w:szCs w:val="21"/>
        </w:rPr>
        <w:t>：</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客户服务热线：</w:t>
      </w:r>
      <w:r w:rsidR="00F94A06">
        <w:rPr>
          <w:rFonts w:ascii="Arial" w:hAnsi="Arial" w:cs="Arial" w:hint="eastAsia"/>
          <w:szCs w:val="21"/>
        </w:rPr>
        <w:t>95</w:t>
      </w:r>
      <w:r w:rsidR="00691528">
        <w:rPr>
          <w:rFonts w:ascii="Arial" w:hAnsi="Arial" w:cs="Arial" w:hint="eastAsia"/>
          <w:szCs w:val="21"/>
        </w:rPr>
        <w:t>547</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网站：</w:t>
      </w:r>
      <w:r w:rsidR="00991D78" w:rsidRPr="00991D78">
        <w:rPr>
          <w:rFonts w:ascii="Arial" w:hAnsi="Arial" w:cs="Arial"/>
          <w:szCs w:val="21"/>
        </w:rPr>
        <w:t>www.</w:t>
      </w:r>
      <w:r w:rsidR="00691528">
        <w:rPr>
          <w:rFonts w:ascii="Arial" w:hAnsi="Arial" w:cs="Arial" w:hint="eastAsia"/>
          <w:szCs w:val="21"/>
        </w:rPr>
        <w:t>h</w:t>
      </w:r>
      <w:r w:rsidR="00691528">
        <w:rPr>
          <w:rFonts w:ascii="Arial" w:hAnsi="Arial" w:cs="Arial"/>
          <w:szCs w:val="21"/>
        </w:rPr>
        <w:t>f</w:t>
      </w:r>
      <w:r w:rsidR="00991D78" w:rsidRPr="00991D78">
        <w:rPr>
          <w:rFonts w:ascii="Arial" w:hAnsi="Arial" w:cs="Arial"/>
          <w:szCs w:val="21"/>
        </w:rPr>
        <w:t>zq.com</w:t>
      </w:r>
      <w:r w:rsidR="00DB0B8A">
        <w:rPr>
          <w:rFonts w:ascii="Arial" w:hAnsi="Arial" w:cs="Arial"/>
          <w:szCs w:val="21"/>
        </w:rPr>
        <w:t>.cn</w:t>
      </w:r>
    </w:p>
    <w:p w:rsidR="00932E30" w:rsidRDefault="00932E30">
      <w:pPr>
        <w:spacing w:line="360" w:lineRule="auto"/>
        <w:rPr>
          <w:rFonts w:ascii="Arial" w:hAnsi="Arial" w:cs="Arial" w:hint="eastAsia"/>
          <w:szCs w:val="21"/>
        </w:rPr>
      </w:pPr>
    </w:p>
    <w:p w:rsidR="00932E30" w:rsidRDefault="0077612A">
      <w:pPr>
        <w:spacing w:line="360" w:lineRule="auto"/>
        <w:ind w:firstLineChars="200" w:firstLine="420"/>
        <w:rPr>
          <w:rFonts w:ascii="Arial" w:hAnsi="Arial" w:cs="Arial"/>
          <w:szCs w:val="21"/>
        </w:rPr>
      </w:pPr>
      <w:r>
        <w:rPr>
          <w:rFonts w:ascii="Arial" w:hAnsi="Arial" w:cs="Arial" w:hint="eastAsia"/>
          <w:szCs w:val="21"/>
        </w:rPr>
        <w:t>五</w:t>
      </w:r>
      <w:r w:rsidR="00932E30">
        <w:rPr>
          <w:rFonts w:ascii="Arial" w:hAnsi="Arial" w:cs="Arial"/>
          <w:szCs w:val="21"/>
        </w:rPr>
        <w:t>、重要提示</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691528">
        <w:rPr>
          <w:rFonts w:ascii="Arial" w:hAnsi="Arial" w:cs="Arial" w:hint="eastAsia"/>
          <w:szCs w:val="21"/>
        </w:rPr>
        <w:t>华福</w:t>
      </w:r>
      <w:r w:rsidR="0075305D">
        <w:rPr>
          <w:rFonts w:ascii="Arial" w:hAnsi="Arial" w:cs="Arial" w:hint="eastAsia"/>
          <w:szCs w:val="21"/>
        </w:rPr>
        <w:t>证券</w:t>
      </w:r>
      <w:r>
        <w:rPr>
          <w:rFonts w:ascii="Arial" w:hAnsi="Arial" w:cs="Arial"/>
          <w:szCs w:val="21"/>
        </w:rPr>
        <w:t>开通</w:t>
      </w:r>
      <w:r>
        <w:rPr>
          <w:rFonts w:ascii="Arial" w:hAnsi="Arial" w:cs="Arial" w:hint="eastAsia"/>
          <w:szCs w:val="21"/>
        </w:rPr>
        <w:t>本公司</w:t>
      </w:r>
      <w:r>
        <w:rPr>
          <w:rFonts w:ascii="Arial" w:hAnsi="Arial" w:cs="Arial"/>
          <w:szCs w:val="21"/>
        </w:rPr>
        <w:t>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szCs w:val="21"/>
        </w:rPr>
        <w:t>的申购、赎回、</w:t>
      </w:r>
      <w:r>
        <w:rPr>
          <w:rFonts w:ascii="Arial" w:hAnsi="Arial" w:cs="Arial" w:hint="eastAsia"/>
          <w:szCs w:val="21"/>
        </w:rPr>
        <w:t>定期定额投资</w:t>
      </w:r>
      <w:r>
        <w:rPr>
          <w:rFonts w:ascii="Arial" w:hAnsi="Arial" w:cs="Arial"/>
          <w:szCs w:val="21"/>
        </w:rPr>
        <w:t>等相关销售业务的事项予以公告。今后</w:t>
      </w:r>
      <w:r w:rsidR="00691528">
        <w:rPr>
          <w:rFonts w:ascii="Arial" w:hAnsi="Arial" w:cs="Arial" w:hint="eastAsia"/>
          <w:szCs w:val="21"/>
        </w:rPr>
        <w:t>华福</w:t>
      </w:r>
      <w:r w:rsidR="0075305D">
        <w:rPr>
          <w:rFonts w:ascii="Arial" w:hAnsi="Arial" w:cs="Arial" w:hint="eastAsia"/>
          <w:szCs w:val="21"/>
        </w:rPr>
        <w:t>证券</w:t>
      </w:r>
      <w:r>
        <w:rPr>
          <w:rFonts w:ascii="Arial" w:hAnsi="Arial" w:cs="Arial"/>
          <w:szCs w:val="21"/>
        </w:rPr>
        <w:t>若代理本公司旗下其他基金的销售及相关业务，届时将另行公告。</w:t>
      </w:r>
    </w:p>
    <w:p w:rsidR="00932E30" w:rsidRDefault="00932E30">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w:t>
      </w:r>
      <w:r w:rsidR="007E1EB9">
        <w:rPr>
          <w:rFonts w:ascii="宋体" w:hAnsi="宋体" w:cs="宋体" w:hint="eastAsia"/>
          <w:kern w:val="0"/>
          <w:szCs w:val="21"/>
        </w:rPr>
        <w:t>上述</w:t>
      </w:r>
      <w:r w:rsidR="0075305D" w:rsidRPr="0075305D">
        <w:rPr>
          <w:rFonts w:ascii="宋体" w:hAnsi="宋体" w:cs="宋体" w:hint="eastAsia"/>
          <w:kern w:val="0"/>
          <w:szCs w:val="21"/>
        </w:rPr>
        <w:t>基金</w:t>
      </w:r>
      <w:r>
        <w:rPr>
          <w:rFonts w:ascii="宋体" w:hAnsi="宋体" w:cs="宋体" w:hint="eastAsia"/>
          <w:kern w:val="0"/>
          <w:szCs w:val="21"/>
        </w:rPr>
        <w:t>在</w:t>
      </w:r>
      <w:r w:rsidR="00691528">
        <w:rPr>
          <w:rFonts w:ascii="Arial" w:hAnsi="Arial" w:cs="Arial" w:hint="eastAsia"/>
          <w:szCs w:val="21"/>
        </w:rPr>
        <w:t>华福</w:t>
      </w:r>
      <w:r w:rsidR="0075305D">
        <w:rPr>
          <w:rFonts w:ascii="Arial" w:hAnsi="Arial" w:cs="Arial" w:hint="eastAsia"/>
          <w:szCs w:val="21"/>
        </w:rPr>
        <w:t>证券</w:t>
      </w:r>
      <w:r>
        <w:rPr>
          <w:rFonts w:ascii="宋体" w:hAnsi="宋体" w:cs="宋体" w:hint="eastAsia"/>
          <w:kern w:val="0"/>
          <w:szCs w:val="21"/>
        </w:rPr>
        <w:t>办理基金销售业务的其他未明事项，敬请遵循</w:t>
      </w:r>
      <w:r w:rsidR="00691528">
        <w:rPr>
          <w:rFonts w:ascii="Arial" w:cs="Arial" w:hint="eastAsia"/>
          <w:szCs w:val="21"/>
        </w:rPr>
        <w:t>华福</w:t>
      </w:r>
      <w:r w:rsidR="0075305D">
        <w:rPr>
          <w:rFonts w:ascii="Arial" w:cs="Arial" w:hint="eastAsia"/>
          <w:szCs w:val="21"/>
        </w:rPr>
        <w:t>证券</w:t>
      </w:r>
      <w:r>
        <w:rPr>
          <w:rFonts w:ascii="宋体" w:hAnsi="宋体" w:cs="宋体" w:hint="eastAsia"/>
          <w:kern w:val="0"/>
          <w:szCs w:val="21"/>
        </w:rPr>
        <w:t>的具体规定。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w:t>
      </w:r>
      <w:r w:rsidR="007E1EB9">
        <w:rPr>
          <w:rFonts w:ascii="Arial" w:hAnsi="Arial" w:cs="Arial" w:hint="eastAsia"/>
          <w:szCs w:val="21"/>
        </w:rPr>
        <w:t>相关</w:t>
      </w:r>
      <w:r w:rsidR="0075305D" w:rsidRPr="0075305D">
        <w:rPr>
          <w:rFonts w:ascii="Arial" w:hAnsi="Arial" w:cs="Arial" w:hint="eastAsia"/>
          <w:szCs w:val="21"/>
        </w:rPr>
        <w:t>基金</w:t>
      </w:r>
      <w:r>
        <w:rPr>
          <w:rFonts w:ascii="Arial" w:hAnsi="Arial" w:cs="Arial"/>
          <w:szCs w:val="21"/>
        </w:rPr>
        <w:t>的基金合同、招募说明书及其更新</w:t>
      </w:r>
      <w:r w:rsidR="00EA686D">
        <w:rPr>
          <w:rFonts w:ascii="Arial" w:hAnsi="Arial" w:cs="Arial" w:hint="eastAsia"/>
          <w:szCs w:val="21"/>
        </w:rPr>
        <w:t>、产品资料概要及其更新</w:t>
      </w:r>
      <w:r>
        <w:rPr>
          <w:rFonts w:ascii="Arial" w:hAnsi="Arial" w:cs="Arial"/>
          <w:szCs w:val="21"/>
        </w:rPr>
        <w:t>、风险提示及相关业务规则和操作指南等文件。</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3B1809">
        <w:rPr>
          <w:rFonts w:ascii="Arial" w:hAnsi="Arial" w:cs="Arial" w:hint="eastAsia"/>
          <w:szCs w:val="21"/>
        </w:rPr>
        <w:t>特定</w:t>
      </w:r>
      <w:r>
        <w:rPr>
          <w:rFonts w:ascii="Arial" w:hAnsi="Arial" w:cs="Arial" w:hint="eastAsia"/>
          <w:szCs w:val="21"/>
        </w:rPr>
        <w:t>基金业绩表现的保证。</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EA686D">
        <w:rPr>
          <w:rFonts w:ascii="Arial" w:hAnsi="Arial" w:cs="Arial" w:hint="eastAsia"/>
          <w:szCs w:val="21"/>
        </w:rPr>
        <w:t>、</w:t>
      </w:r>
      <w:r>
        <w:rPr>
          <w:rFonts w:ascii="Arial" w:hAnsi="Arial" w:cs="Arial" w:hint="eastAsia"/>
          <w:szCs w:val="21"/>
        </w:rPr>
        <w:t>《招募说明书》</w:t>
      </w:r>
      <w:r w:rsidR="00EA686D">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932E30" w:rsidRDefault="00932E30" w:rsidP="00823316">
      <w:pPr>
        <w:spacing w:line="360" w:lineRule="auto"/>
        <w:ind w:firstLineChars="200" w:firstLine="420"/>
        <w:rPr>
          <w:rFonts w:ascii="Arial" w:hAnsi="Arial" w:cs="Arial" w:hint="eastAsia"/>
          <w:szCs w:val="21"/>
        </w:rPr>
      </w:pPr>
      <w:r>
        <w:rPr>
          <w:rFonts w:ascii="Arial" w:hAnsi="Arial" w:cs="Arial"/>
          <w:szCs w:val="21"/>
        </w:rPr>
        <w:t>特此公告。</w:t>
      </w:r>
    </w:p>
    <w:p w:rsidR="00932E30" w:rsidRDefault="00932E30">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932E30" w:rsidRDefault="00932E30">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127410">
        <w:rPr>
          <w:rFonts w:ascii="Arial" w:hAnsi="Arial" w:cs="Arial" w:hint="eastAsia"/>
          <w:szCs w:val="21"/>
        </w:rPr>
        <w:t>三</w:t>
      </w:r>
      <w:r>
        <w:rPr>
          <w:rFonts w:ascii="Arial" w:hAnsi="Arial" w:cs="Arial"/>
          <w:szCs w:val="21"/>
        </w:rPr>
        <w:t>年</w:t>
      </w:r>
      <w:r w:rsidR="00991D78">
        <w:rPr>
          <w:rFonts w:ascii="Arial" w:hAnsi="Arial" w:cs="Arial" w:hint="eastAsia"/>
          <w:szCs w:val="21"/>
        </w:rPr>
        <w:t>十</w:t>
      </w:r>
      <w:r w:rsidR="00DB0B8A">
        <w:rPr>
          <w:rFonts w:ascii="Arial" w:hAnsi="Arial" w:cs="Arial" w:hint="eastAsia"/>
          <w:szCs w:val="21"/>
        </w:rPr>
        <w:t>二</w:t>
      </w:r>
      <w:r>
        <w:rPr>
          <w:rFonts w:ascii="Arial" w:hAnsi="Arial" w:cs="Arial"/>
          <w:szCs w:val="21"/>
        </w:rPr>
        <w:t>月</w:t>
      </w:r>
      <w:r w:rsidR="00816BA5">
        <w:rPr>
          <w:rFonts w:ascii="Arial" w:hAnsi="Arial" w:cs="Arial" w:hint="eastAsia"/>
          <w:szCs w:val="21"/>
        </w:rPr>
        <w:t>七</w:t>
      </w:r>
      <w:r>
        <w:rPr>
          <w:rFonts w:ascii="Arial" w:hAnsi="Arial" w:cs="Arial"/>
          <w:szCs w:val="21"/>
        </w:rPr>
        <w:t>日</w:t>
      </w:r>
    </w:p>
    <w:sectPr w:rsidR="00932E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1B" w:rsidRDefault="0026531B" w:rsidP="00E02ECD">
      <w:r>
        <w:separator/>
      </w:r>
    </w:p>
  </w:endnote>
  <w:endnote w:type="continuationSeparator" w:id="0">
    <w:p w:rsidR="0026531B" w:rsidRDefault="0026531B" w:rsidP="00E0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1B" w:rsidRDefault="0026531B" w:rsidP="00E02ECD">
      <w:r>
        <w:separator/>
      </w:r>
    </w:p>
  </w:footnote>
  <w:footnote w:type="continuationSeparator" w:id="0">
    <w:p w:rsidR="0026531B" w:rsidRDefault="0026531B" w:rsidP="00E0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40FA"/>
    <w:rsid w:val="00015DB8"/>
    <w:rsid w:val="00022D2B"/>
    <w:rsid w:val="00024C8D"/>
    <w:rsid w:val="000279A8"/>
    <w:rsid w:val="00040927"/>
    <w:rsid w:val="00050D30"/>
    <w:rsid w:val="0005456C"/>
    <w:rsid w:val="0006028F"/>
    <w:rsid w:val="00060BC1"/>
    <w:rsid w:val="0006603D"/>
    <w:rsid w:val="00067A43"/>
    <w:rsid w:val="00072DC7"/>
    <w:rsid w:val="000804AE"/>
    <w:rsid w:val="000870F2"/>
    <w:rsid w:val="000A607E"/>
    <w:rsid w:val="000B5F24"/>
    <w:rsid w:val="000B7F00"/>
    <w:rsid w:val="000C5664"/>
    <w:rsid w:val="000D0FEB"/>
    <w:rsid w:val="000D1183"/>
    <w:rsid w:val="000D14FC"/>
    <w:rsid w:val="000E36FD"/>
    <w:rsid w:val="000F413C"/>
    <w:rsid w:val="00106BC9"/>
    <w:rsid w:val="001228AD"/>
    <w:rsid w:val="00127410"/>
    <w:rsid w:val="0013792F"/>
    <w:rsid w:val="0015201E"/>
    <w:rsid w:val="00156672"/>
    <w:rsid w:val="00164AFA"/>
    <w:rsid w:val="0017064D"/>
    <w:rsid w:val="001720D8"/>
    <w:rsid w:val="001737A2"/>
    <w:rsid w:val="001768E1"/>
    <w:rsid w:val="001861C1"/>
    <w:rsid w:val="00191E08"/>
    <w:rsid w:val="001A096D"/>
    <w:rsid w:val="001A2221"/>
    <w:rsid w:val="001C0198"/>
    <w:rsid w:val="001C2621"/>
    <w:rsid w:val="001D343B"/>
    <w:rsid w:val="001D57CA"/>
    <w:rsid w:val="002015CE"/>
    <w:rsid w:val="002115B3"/>
    <w:rsid w:val="002304F4"/>
    <w:rsid w:val="00230673"/>
    <w:rsid w:val="002422C1"/>
    <w:rsid w:val="002465F6"/>
    <w:rsid w:val="002522AF"/>
    <w:rsid w:val="0026531B"/>
    <w:rsid w:val="002779AA"/>
    <w:rsid w:val="00291FA9"/>
    <w:rsid w:val="002A3549"/>
    <w:rsid w:val="002B1A64"/>
    <w:rsid w:val="002C4287"/>
    <w:rsid w:val="002C44E7"/>
    <w:rsid w:val="002D0AA2"/>
    <w:rsid w:val="002D61BD"/>
    <w:rsid w:val="002F2B54"/>
    <w:rsid w:val="002F31F8"/>
    <w:rsid w:val="00301B05"/>
    <w:rsid w:val="00302A0F"/>
    <w:rsid w:val="00307327"/>
    <w:rsid w:val="003150E8"/>
    <w:rsid w:val="0032413B"/>
    <w:rsid w:val="003305C2"/>
    <w:rsid w:val="00333118"/>
    <w:rsid w:val="0035756E"/>
    <w:rsid w:val="003704AA"/>
    <w:rsid w:val="00371D8C"/>
    <w:rsid w:val="00372E16"/>
    <w:rsid w:val="00380E7E"/>
    <w:rsid w:val="00384127"/>
    <w:rsid w:val="00386602"/>
    <w:rsid w:val="00386691"/>
    <w:rsid w:val="0039283C"/>
    <w:rsid w:val="00395E11"/>
    <w:rsid w:val="003A6491"/>
    <w:rsid w:val="003B1809"/>
    <w:rsid w:val="003B2712"/>
    <w:rsid w:val="003B3DB7"/>
    <w:rsid w:val="003B5A50"/>
    <w:rsid w:val="003C286C"/>
    <w:rsid w:val="003E2BE4"/>
    <w:rsid w:val="003E3DEB"/>
    <w:rsid w:val="003E6081"/>
    <w:rsid w:val="003E73D3"/>
    <w:rsid w:val="00410CD5"/>
    <w:rsid w:val="00417EC1"/>
    <w:rsid w:val="00425E99"/>
    <w:rsid w:val="00432328"/>
    <w:rsid w:val="0043286C"/>
    <w:rsid w:val="004345D1"/>
    <w:rsid w:val="00450198"/>
    <w:rsid w:val="004606D0"/>
    <w:rsid w:val="00460A29"/>
    <w:rsid w:val="00465189"/>
    <w:rsid w:val="00467868"/>
    <w:rsid w:val="0048306C"/>
    <w:rsid w:val="00485A66"/>
    <w:rsid w:val="0048775A"/>
    <w:rsid w:val="004A55E2"/>
    <w:rsid w:val="004C4901"/>
    <w:rsid w:val="004C7FBA"/>
    <w:rsid w:val="004D4A5C"/>
    <w:rsid w:val="004D5758"/>
    <w:rsid w:val="00505434"/>
    <w:rsid w:val="00525DFB"/>
    <w:rsid w:val="00531C56"/>
    <w:rsid w:val="00535F16"/>
    <w:rsid w:val="00540206"/>
    <w:rsid w:val="005410A3"/>
    <w:rsid w:val="00550DF0"/>
    <w:rsid w:val="005540FD"/>
    <w:rsid w:val="00554F68"/>
    <w:rsid w:val="00555DFD"/>
    <w:rsid w:val="005561A6"/>
    <w:rsid w:val="005571E4"/>
    <w:rsid w:val="0057013C"/>
    <w:rsid w:val="00584EC5"/>
    <w:rsid w:val="00591A8C"/>
    <w:rsid w:val="005A682E"/>
    <w:rsid w:val="005C586B"/>
    <w:rsid w:val="005E2669"/>
    <w:rsid w:val="005F3AE1"/>
    <w:rsid w:val="005F4716"/>
    <w:rsid w:val="005F790A"/>
    <w:rsid w:val="00605006"/>
    <w:rsid w:val="006100B1"/>
    <w:rsid w:val="006155FA"/>
    <w:rsid w:val="00616251"/>
    <w:rsid w:val="00617434"/>
    <w:rsid w:val="006240BE"/>
    <w:rsid w:val="0062774B"/>
    <w:rsid w:val="00640265"/>
    <w:rsid w:val="0064260F"/>
    <w:rsid w:val="00645976"/>
    <w:rsid w:val="006467A4"/>
    <w:rsid w:val="00655EF6"/>
    <w:rsid w:val="00656F1C"/>
    <w:rsid w:val="00670E10"/>
    <w:rsid w:val="006717D9"/>
    <w:rsid w:val="00672179"/>
    <w:rsid w:val="00676B6A"/>
    <w:rsid w:val="00691528"/>
    <w:rsid w:val="00692EBE"/>
    <w:rsid w:val="006A2583"/>
    <w:rsid w:val="006B420F"/>
    <w:rsid w:val="006B4D14"/>
    <w:rsid w:val="006B7779"/>
    <w:rsid w:val="006B7A43"/>
    <w:rsid w:val="006C09B1"/>
    <w:rsid w:val="006C30E9"/>
    <w:rsid w:val="006C53D6"/>
    <w:rsid w:val="006C5EAD"/>
    <w:rsid w:val="006D252C"/>
    <w:rsid w:val="006D469E"/>
    <w:rsid w:val="006E0EA0"/>
    <w:rsid w:val="006E5BBF"/>
    <w:rsid w:val="006F4100"/>
    <w:rsid w:val="00700C56"/>
    <w:rsid w:val="00705B08"/>
    <w:rsid w:val="00706649"/>
    <w:rsid w:val="00717BC0"/>
    <w:rsid w:val="00741CC6"/>
    <w:rsid w:val="007524BE"/>
    <w:rsid w:val="0075305D"/>
    <w:rsid w:val="00773E80"/>
    <w:rsid w:val="00775009"/>
    <w:rsid w:val="0077612A"/>
    <w:rsid w:val="00780E2D"/>
    <w:rsid w:val="007A6CD5"/>
    <w:rsid w:val="007B6063"/>
    <w:rsid w:val="007C3A19"/>
    <w:rsid w:val="007D593C"/>
    <w:rsid w:val="007D6400"/>
    <w:rsid w:val="007D7899"/>
    <w:rsid w:val="007E0D58"/>
    <w:rsid w:val="007E1EB9"/>
    <w:rsid w:val="007E679E"/>
    <w:rsid w:val="007F516E"/>
    <w:rsid w:val="007F59F2"/>
    <w:rsid w:val="008009D7"/>
    <w:rsid w:val="00801E63"/>
    <w:rsid w:val="008026CB"/>
    <w:rsid w:val="00816BA5"/>
    <w:rsid w:val="00823316"/>
    <w:rsid w:val="00836030"/>
    <w:rsid w:val="008400B5"/>
    <w:rsid w:val="00840C9B"/>
    <w:rsid w:val="00846AE1"/>
    <w:rsid w:val="008536FA"/>
    <w:rsid w:val="00854920"/>
    <w:rsid w:val="00874B8B"/>
    <w:rsid w:val="00875925"/>
    <w:rsid w:val="008873A8"/>
    <w:rsid w:val="00890851"/>
    <w:rsid w:val="008954CE"/>
    <w:rsid w:val="008B6E96"/>
    <w:rsid w:val="008C154F"/>
    <w:rsid w:val="008C636C"/>
    <w:rsid w:val="008E1106"/>
    <w:rsid w:val="008F2477"/>
    <w:rsid w:val="008F4E9C"/>
    <w:rsid w:val="009039AC"/>
    <w:rsid w:val="00905B25"/>
    <w:rsid w:val="00906524"/>
    <w:rsid w:val="00911456"/>
    <w:rsid w:val="009144FD"/>
    <w:rsid w:val="00914DD5"/>
    <w:rsid w:val="00932193"/>
    <w:rsid w:val="00932E30"/>
    <w:rsid w:val="00942B47"/>
    <w:rsid w:val="00946B53"/>
    <w:rsid w:val="00946BDA"/>
    <w:rsid w:val="00947D38"/>
    <w:rsid w:val="00950F17"/>
    <w:rsid w:val="009575E9"/>
    <w:rsid w:val="00960574"/>
    <w:rsid w:val="00961CFF"/>
    <w:rsid w:val="00961E86"/>
    <w:rsid w:val="00962A1C"/>
    <w:rsid w:val="00966536"/>
    <w:rsid w:val="00972CF5"/>
    <w:rsid w:val="0098482A"/>
    <w:rsid w:val="00991D78"/>
    <w:rsid w:val="009A0D87"/>
    <w:rsid w:val="009A2107"/>
    <w:rsid w:val="009A7D0B"/>
    <w:rsid w:val="009B0C0B"/>
    <w:rsid w:val="009C5991"/>
    <w:rsid w:val="009D1790"/>
    <w:rsid w:val="009E14D2"/>
    <w:rsid w:val="009E728D"/>
    <w:rsid w:val="009F2BEC"/>
    <w:rsid w:val="009F5606"/>
    <w:rsid w:val="00A04718"/>
    <w:rsid w:val="00A07A8B"/>
    <w:rsid w:val="00A12FB3"/>
    <w:rsid w:val="00A2008D"/>
    <w:rsid w:val="00A30B57"/>
    <w:rsid w:val="00A32DFE"/>
    <w:rsid w:val="00A32ED5"/>
    <w:rsid w:val="00A50E9A"/>
    <w:rsid w:val="00A52BB6"/>
    <w:rsid w:val="00A63F59"/>
    <w:rsid w:val="00A63FE1"/>
    <w:rsid w:val="00A675CD"/>
    <w:rsid w:val="00A74C31"/>
    <w:rsid w:val="00A90280"/>
    <w:rsid w:val="00AB566B"/>
    <w:rsid w:val="00AC14E8"/>
    <w:rsid w:val="00AC15E0"/>
    <w:rsid w:val="00AC29E8"/>
    <w:rsid w:val="00AC3AFD"/>
    <w:rsid w:val="00AC7E76"/>
    <w:rsid w:val="00B1727F"/>
    <w:rsid w:val="00B333CA"/>
    <w:rsid w:val="00B47AD2"/>
    <w:rsid w:val="00B55D73"/>
    <w:rsid w:val="00B57C24"/>
    <w:rsid w:val="00B63CCA"/>
    <w:rsid w:val="00B6576A"/>
    <w:rsid w:val="00B7161C"/>
    <w:rsid w:val="00B76671"/>
    <w:rsid w:val="00B818F1"/>
    <w:rsid w:val="00B84983"/>
    <w:rsid w:val="00B86602"/>
    <w:rsid w:val="00B9310F"/>
    <w:rsid w:val="00BA3522"/>
    <w:rsid w:val="00BB17B4"/>
    <w:rsid w:val="00BB3059"/>
    <w:rsid w:val="00BD0CA4"/>
    <w:rsid w:val="00BD5661"/>
    <w:rsid w:val="00BD63B3"/>
    <w:rsid w:val="00BE5994"/>
    <w:rsid w:val="00BF15D0"/>
    <w:rsid w:val="00BF3275"/>
    <w:rsid w:val="00C0165F"/>
    <w:rsid w:val="00C040D4"/>
    <w:rsid w:val="00C0599F"/>
    <w:rsid w:val="00C10754"/>
    <w:rsid w:val="00C24D0A"/>
    <w:rsid w:val="00C272EF"/>
    <w:rsid w:val="00C302F8"/>
    <w:rsid w:val="00C46936"/>
    <w:rsid w:val="00C4702C"/>
    <w:rsid w:val="00C577DB"/>
    <w:rsid w:val="00C64285"/>
    <w:rsid w:val="00C81C3C"/>
    <w:rsid w:val="00C92575"/>
    <w:rsid w:val="00C9434D"/>
    <w:rsid w:val="00CB2DA6"/>
    <w:rsid w:val="00CD56B2"/>
    <w:rsid w:val="00CE2F4F"/>
    <w:rsid w:val="00CE479D"/>
    <w:rsid w:val="00D02B4C"/>
    <w:rsid w:val="00D13D2A"/>
    <w:rsid w:val="00D14403"/>
    <w:rsid w:val="00D36201"/>
    <w:rsid w:val="00D41E86"/>
    <w:rsid w:val="00D50891"/>
    <w:rsid w:val="00D54863"/>
    <w:rsid w:val="00D55D81"/>
    <w:rsid w:val="00D61755"/>
    <w:rsid w:val="00D67907"/>
    <w:rsid w:val="00D71CDD"/>
    <w:rsid w:val="00D723F7"/>
    <w:rsid w:val="00D7681D"/>
    <w:rsid w:val="00DA18F7"/>
    <w:rsid w:val="00DB0B8A"/>
    <w:rsid w:val="00DB3892"/>
    <w:rsid w:val="00DB3EDB"/>
    <w:rsid w:val="00DB621B"/>
    <w:rsid w:val="00DC19A7"/>
    <w:rsid w:val="00DC4493"/>
    <w:rsid w:val="00DD3203"/>
    <w:rsid w:val="00DF694F"/>
    <w:rsid w:val="00E02ECD"/>
    <w:rsid w:val="00E168BE"/>
    <w:rsid w:val="00E1751E"/>
    <w:rsid w:val="00E37553"/>
    <w:rsid w:val="00E44B75"/>
    <w:rsid w:val="00E46B32"/>
    <w:rsid w:val="00E50C76"/>
    <w:rsid w:val="00E63C58"/>
    <w:rsid w:val="00E65B4C"/>
    <w:rsid w:val="00E67ADF"/>
    <w:rsid w:val="00E87294"/>
    <w:rsid w:val="00E908C3"/>
    <w:rsid w:val="00E9739E"/>
    <w:rsid w:val="00EA2828"/>
    <w:rsid w:val="00EA3450"/>
    <w:rsid w:val="00EA686D"/>
    <w:rsid w:val="00EB1A5F"/>
    <w:rsid w:val="00EC40BB"/>
    <w:rsid w:val="00ED204B"/>
    <w:rsid w:val="00ED4E47"/>
    <w:rsid w:val="00EE35BA"/>
    <w:rsid w:val="00F058C1"/>
    <w:rsid w:val="00F14633"/>
    <w:rsid w:val="00F33AE5"/>
    <w:rsid w:val="00F47E54"/>
    <w:rsid w:val="00F507B8"/>
    <w:rsid w:val="00F6431B"/>
    <w:rsid w:val="00F66B63"/>
    <w:rsid w:val="00F74B30"/>
    <w:rsid w:val="00F771AD"/>
    <w:rsid w:val="00F85163"/>
    <w:rsid w:val="00F85558"/>
    <w:rsid w:val="00F86429"/>
    <w:rsid w:val="00F9438E"/>
    <w:rsid w:val="00F94A06"/>
    <w:rsid w:val="00FA2317"/>
    <w:rsid w:val="00FB09C2"/>
    <w:rsid w:val="00FB24F1"/>
    <w:rsid w:val="00FB3FAB"/>
    <w:rsid w:val="00FC35DC"/>
    <w:rsid w:val="00FC4537"/>
    <w:rsid w:val="00FC54A2"/>
    <w:rsid w:val="00FD3BB7"/>
    <w:rsid w:val="00FE2650"/>
    <w:rsid w:val="00FF083F"/>
    <w:rsid w:val="00FF4247"/>
    <w:rsid w:val="00FF7CD6"/>
    <w:rsid w:val="5BCE0E46"/>
    <w:rsid w:val="72A25064"/>
    <w:rsid w:val="74E91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character" w:customStyle="1" w:styleId="a8">
    <w:name w:val="批注主题 字符"/>
    <w:link w:val="a9"/>
    <w:rPr>
      <w:b/>
      <w:bCs/>
      <w:kern w:val="2"/>
      <w:sz w:val="21"/>
      <w:szCs w:val="24"/>
    </w:rPr>
  </w:style>
  <w:style w:type="character" w:styleId="aa">
    <w:name w:val="annotation reference"/>
    <w:rPr>
      <w:sz w:val="21"/>
      <w:szCs w:val="21"/>
    </w:rPr>
  </w:style>
  <w:style w:type="character" w:customStyle="1" w:styleId="ab">
    <w:name w:val="批注文字 字符"/>
    <w:link w:val="ac"/>
    <w:rPr>
      <w:kern w:val="2"/>
      <w:sz w:val="21"/>
      <w:szCs w:val="24"/>
    </w:rPr>
  </w:style>
  <w:style w:type="paragraph" w:styleId="ac">
    <w:name w:val="annotation text"/>
    <w:basedOn w:val="a"/>
    <w:link w:val="ab"/>
    <w:pPr>
      <w:jc w:val="left"/>
    </w:pPr>
  </w:style>
  <w:style w:type="paragraph" w:styleId="a9">
    <w:name w:val="annotation subject"/>
    <w:basedOn w:val="ac"/>
    <w:next w:val="ac"/>
    <w:link w:val="a8"/>
    <w:rPr>
      <w:b/>
      <w:bCs/>
    </w:rPr>
  </w:style>
  <w:style w:type="paragraph" w:styleId="a5">
    <w:name w:val="footer"/>
    <w:basedOn w:val="a"/>
    <w:link w:val="a4"/>
    <w:pPr>
      <w:tabs>
        <w:tab w:val="center" w:pos="4153"/>
        <w:tab w:val="right" w:pos="8306"/>
      </w:tabs>
      <w:snapToGrid w:val="0"/>
      <w:jc w:val="left"/>
    </w:pPr>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Balloon Text"/>
    <w:basedOn w:val="a"/>
    <w:semiHidden/>
    <w:rPr>
      <w:sz w:val="18"/>
      <w:szCs w:val="18"/>
    </w:rPr>
  </w:style>
  <w:style w:type="paragraph" w:styleId="ae">
    <w:name w:val="Revision"/>
    <w:hidden/>
    <w:uiPriority w:val="99"/>
    <w:unhideWhenUsed/>
    <w:rsid w:val="00914DD5"/>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60B1-5533-4979-ACB2-B0932A3B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4</DocSecurity>
  <Lines>36</Lines>
  <Paragraphs>10</Paragraphs>
  <ScaleCrop>false</ScaleCrop>
  <Company>国联安基金</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2022-02-23T02:13:00Z</cp:lastPrinted>
  <dcterms:created xsi:type="dcterms:W3CDTF">2023-12-06T16:01:00Z</dcterms:created>
  <dcterms:modified xsi:type="dcterms:W3CDTF">2023-12-06T16:01:00Z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