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5E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rFonts w:ascii="宋体" w:hAnsi="宋体" w:cs="宋体"/>
          <w:b/>
          <w:bCs/>
          <w:color w:val="000000"/>
          <w:kern w:val="36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安信基金管理有限责任公司关于旗下部分开放式基金新增</w:t>
      </w:r>
      <w:r w:rsidR="002B405F" w:rsidRPr="002B405F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上海中欧</w:t>
      </w:r>
      <w:r w:rsidR="003C745E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财富基金</w:t>
      </w:r>
      <w:r w:rsidR="002B405F" w:rsidRPr="002B405F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销售有限公司</w:t>
      </w:r>
      <w:r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为基金销售服务机构的</w:t>
      </w:r>
    </w:p>
    <w:p w:rsidR="009417E2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rFonts w:ascii="宋体" w:hAnsi="宋体" w:cs="宋体"/>
          <w:b/>
          <w:bCs/>
          <w:color w:val="000000"/>
          <w:kern w:val="36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公告</w:t>
      </w:r>
    </w:p>
    <w:p w:rsidR="009417E2" w:rsidRPr="00930B9B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rFonts w:ascii="宋体" w:hAnsi="宋体" w:cs="宋体"/>
          <w:b/>
          <w:bCs/>
          <w:color w:val="000000"/>
          <w:kern w:val="36"/>
          <w:sz w:val="32"/>
          <w:szCs w:val="32"/>
        </w:rPr>
      </w:pPr>
    </w:p>
    <w:p w:rsidR="009417E2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根据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安信基金管理有限责任公司(以下简称“本公司”)与</w:t>
      </w:r>
      <w:r w:rsidR="003C745E" w:rsidRPr="003C745E">
        <w:rPr>
          <w:rFonts w:ascii="宋体" w:hAnsi="宋体" w:cs="宋体" w:hint="eastAsia"/>
          <w:color w:val="000000"/>
          <w:kern w:val="0"/>
          <w:sz w:val="24"/>
          <w:szCs w:val="24"/>
        </w:rPr>
        <w:t>上海中欧财富基金销售有限公司</w:t>
      </w:r>
      <w:r>
        <w:rPr>
          <w:rFonts w:ascii="宋体" w:hAnsi="宋体" w:cs="宋体"/>
          <w:color w:val="000000"/>
          <w:kern w:val="0"/>
          <w:sz w:val="24"/>
          <w:szCs w:val="24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以下</w:t>
      </w:r>
      <w:r>
        <w:rPr>
          <w:rFonts w:ascii="宋体" w:hAnsi="宋体" w:cs="宋体"/>
          <w:color w:val="000000"/>
          <w:kern w:val="0"/>
          <w:sz w:val="24"/>
          <w:szCs w:val="24"/>
        </w:rPr>
        <w:t>简称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“</w:t>
      </w:r>
      <w:r w:rsidR="003C745E" w:rsidRPr="003C745E">
        <w:rPr>
          <w:rFonts w:ascii="宋体" w:hAnsi="宋体" w:cs="宋体" w:hint="eastAsia"/>
          <w:color w:val="000000"/>
          <w:kern w:val="0"/>
          <w:sz w:val="24"/>
          <w:szCs w:val="24"/>
        </w:rPr>
        <w:t>中欧财富</w:t>
      </w:r>
      <w:r>
        <w:rPr>
          <w:rFonts w:ascii="宋体" w:hAnsi="宋体" w:cs="宋体"/>
          <w:color w:val="000000"/>
          <w:kern w:val="0"/>
          <w:sz w:val="24"/>
          <w:szCs w:val="24"/>
        </w:rPr>
        <w:t>”）签署的销售代理协议，本公司决定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新增</w:t>
      </w:r>
      <w:r w:rsidR="003C745E" w:rsidRPr="003C745E">
        <w:rPr>
          <w:rFonts w:ascii="宋体" w:hAnsi="宋体" w:cs="宋体" w:hint="eastAsia"/>
          <w:color w:val="000000"/>
          <w:kern w:val="0"/>
          <w:sz w:val="24"/>
          <w:szCs w:val="24"/>
        </w:rPr>
        <w:t>中欧财富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为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旗下部分开放式</w:t>
      </w:r>
      <w:r w:rsidRPr="00896FA6">
        <w:rPr>
          <w:rFonts w:ascii="宋体" w:hAnsi="宋体" w:cs="Calibri" w:hint="eastAsia"/>
          <w:color w:val="000000"/>
          <w:kern w:val="0"/>
          <w:sz w:val="24"/>
          <w:szCs w:val="24"/>
        </w:rPr>
        <w:t>基金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的销售服务机构。</w:t>
      </w:r>
      <w:r>
        <w:rPr>
          <w:rFonts w:ascii="宋体" w:hAnsi="宋体" w:cs="宋体"/>
          <w:color w:val="000000"/>
          <w:kern w:val="0"/>
          <w:sz w:val="24"/>
          <w:szCs w:val="24"/>
        </w:rPr>
        <w:t>投资者自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20</w:t>
      </w:r>
      <w:r w:rsidR="000D39E0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="00A86466"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="003C745E">
        <w:rPr>
          <w:rFonts w:ascii="宋体" w:hAnsi="宋体" w:cs="宋体"/>
          <w:color w:val="000000"/>
          <w:kern w:val="0"/>
          <w:sz w:val="24"/>
          <w:szCs w:val="24"/>
        </w:rPr>
        <w:t>12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3C745E">
        <w:rPr>
          <w:rFonts w:ascii="宋体" w:hAnsi="宋体" w:cs="宋体"/>
          <w:color w:val="000000"/>
          <w:kern w:val="0"/>
          <w:sz w:val="24"/>
          <w:szCs w:val="24"/>
        </w:rPr>
        <w:t>7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  <w:r>
        <w:rPr>
          <w:rFonts w:ascii="宋体" w:hAnsi="宋体" w:cs="宋体"/>
          <w:color w:val="000000"/>
          <w:kern w:val="0"/>
          <w:sz w:val="24"/>
          <w:szCs w:val="24"/>
        </w:rPr>
        <w:t>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可在</w:t>
      </w:r>
      <w:r w:rsidR="003C745E" w:rsidRPr="003C745E">
        <w:rPr>
          <w:rFonts w:ascii="宋体" w:hAnsi="宋体" w:cs="宋体" w:hint="eastAsia"/>
          <w:color w:val="000000"/>
          <w:kern w:val="0"/>
          <w:sz w:val="24"/>
          <w:szCs w:val="24"/>
        </w:rPr>
        <w:t>中欧财富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办理上述基金的开户、</w:t>
      </w:r>
      <w:r w:rsidR="000D39E0">
        <w:rPr>
          <w:rFonts w:ascii="宋体" w:hAnsi="宋体" w:cs="宋体" w:hint="eastAsia"/>
          <w:color w:val="000000"/>
          <w:kern w:val="0"/>
          <w:sz w:val="24"/>
          <w:szCs w:val="24"/>
        </w:rPr>
        <w:t>认购、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申购、赎回、定期定额投资、转换等业务。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如上述基金尚未开放、暂停办理对应业务或对其进行限制的，请遵照相关公告执行。</w:t>
      </w:r>
      <w:r>
        <w:rPr>
          <w:rFonts w:ascii="宋体" w:hAnsi="宋体" w:cs="宋体"/>
          <w:color w:val="000000"/>
          <w:kern w:val="0"/>
          <w:sz w:val="24"/>
          <w:szCs w:val="24"/>
        </w:rPr>
        <w:cr/>
      </w:r>
    </w:p>
    <w:p w:rsidR="009417E2" w:rsidRPr="006C5D2E" w:rsidRDefault="009417E2" w:rsidP="006C5D2E">
      <w:pPr>
        <w:pStyle w:val="a8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C5D2E">
        <w:rPr>
          <w:rFonts w:ascii="宋体" w:hAnsi="宋体" w:cs="宋体" w:hint="eastAsia"/>
          <w:color w:val="000000"/>
          <w:kern w:val="0"/>
          <w:sz w:val="24"/>
          <w:szCs w:val="24"/>
        </w:rPr>
        <w:t>适用基金：</w:t>
      </w:r>
    </w:p>
    <w:tbl>
      <w:tblPr>
        <w:tblW w:w="5000" w:type="pct"/>
        <w:tblLook w:val="04A0"/>
      </w:tblPr>
      <w:tblGrid>
        <w:gridCol w:w="549"/>
        <w:gridCol w:w="4549"/>
        <w:gridCol w:w="3424"/>
      </w:tblGrid>
      <w:tr w:rsidR="008D274C" w:rsidRPr="008D274C" w:rsidTr="008D274C">
        <w:trPr>
          <w:trHeight w:val="30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2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宋体" w:hint="eastAsia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宋体" w:hint="eastAsia"/>
                <w:kern w:val="0"/>
                <w:sz w:val="24"/>
                <w:szCs w:val="24"/>
              </w:rPr>
              <w:t>基金代码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安信永利信用定期开放债券型证券投资基金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A类：000310，C类：000335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安信鑫发优选灵活配置混合型证券投资基金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A类：000433，C类：012891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安信价值精选股票型证券投资基金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000577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安信现金增利货币市场基金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A类：000750，B类：003539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安信消费医药主题股票型证券投资基金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000974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安信优势增长灵活配置混合型证券投资基金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A类：001287，C类：002036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安信稳健增值灵活配置混合型证券投资基金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A类：001316，C类：001338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安信鑫安得利灵活配置混合型证券投资基金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A类：001399，C类：001400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安信新常态沪港深精选股票型证券投资基金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A类：001583，C类：011726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安信新趋势灵活配置混合型证券投资基金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A类：001710，C类：001711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安信新回报灵活配置混合型证券投资基金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A类：002770，C类：002771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安信新价值灵活配置混合型证券投资基金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A类：003026，C类：003027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安信新优选灵活配置混合型证券投资基金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A类：003028，C类：003029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安信新目标灵活配置混合型证券投资基金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A类：003030，C类：003031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安信新成长灵活配置混合型证券投资基金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A类：003345，C类：003346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安信活期宝货币市场基金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A类：003402，B类：004167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安信永鑫增强债券型证券投资基金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A类：003637，C类：003638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安信量化精选沪深300指数增强型证券投资基金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A类：003957，C类：003958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安信中国制造2025沪港深灵活配置混合型证券投资基金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004249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安信企业价值优选混合型证券投资基金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004393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安信工业4.0主题沪港深精选灵活配置混合型证券投资基金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A类：004521，C类：004522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安信恒利增强债券型证券投资基金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A类：005271，C类：005272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安信稳健阿尔法定期开放混合型发起式证券投资基金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A类：005280，C类：009624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安信比较优势灵活配置混合型证券投资基金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005587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安信尊享添益债券型证券投资基金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A类：005678，C类：007099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安信中证500指数增强型证券投资基金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A类：005965，C类：005966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安信量化优选股票型发起式证券投资基金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A类：006346，C类：006347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安信聚利增强债券型证券投资基金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A类：006839，B类：010053，C类：006840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安信核心竞争力灵活配置混合型证券投资基金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A类：007243，C类：007244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安信鑫日享中短债债券型证券投资基金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A类：007245，C类：007246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安信价值驱动三年持有期混合型发起式证券投资基金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008477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安信丰泽39个月定期开放债券型证券投资基金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008523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安信民稳增长混合型证券投资基金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A类：008809，C类：008810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安信价值成长混合型证券投资基金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A类：008891，C类：008892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安信价值回报三年持有期混合型证券投资基金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A类：008954，C类：010667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安信禧悦稳健养老目标一年持有期混合型基金中基金(FOF)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A类：009460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安信平稳双利3个月持有期混合型证券投资基金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A类：009766，C类：009767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安信尊享添利利率债债券型证券投资基金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A类：009784，C类：009785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安信成长动力一年持有期混合型证券投资基金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009880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安信成长精选混合型证券投资基金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A类：010033，C类：010034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安信创新先锋混合型发起式证券投资基金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A类：010237，C类：010238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安信中债1-3年政策性金融债指数证券投资基金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A类：010406，C类：010407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安信浩盈6个月持有期混合型证券投资基金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A类：010408，C类：019065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安信平稳合盈一年持有期混合型证券投资</w:t>
            </w: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A类：010707，C类：010708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安信医药健康主题股票型发起式证券投资基金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A类：010709，C类：010710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安信稳健回报6个月持有期混合型证券投资基金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A类：010819，C类：010820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安信均衡成长18个月持有期混合型证券投资基金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A类：011856，C类：011857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安信消费升级一年持有期混合型发起式证券投资基金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A类：011858，C类：011859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安信价值启航混合型证券投资基金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A类：011905，C类：011906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安信招信一年持有期混合型证券投资基金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A类：012161，C类：012162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安信平衡增利混合型证券投资基金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A类：012250，C类：012251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安信丰穗一年持有期混合型证券投资基金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A类：012256，C类：012257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安信稳健汇利一年持有期混合型证券投资基金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A类：012609，C类：012610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安信优质企业三年持有期混合型证券投资基金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A类：012892，C类：012893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安信远见成长混合型证券投资基金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A类：013095，C类：013096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安信港股通精选混合型发起式证券投资基金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A类：013181，C类：013182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安信华享纯债债券型证券投资基金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A类：015447，C类：015448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安信新能源主题股票型发起式证券投资基金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A类：015707，C类：015708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安信恒鑫增强债券型证券投资基金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A类：015978，C类：015979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安信臻享三个月定期开放债券型证券投资基金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016108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安信洞见成长混合型证券投资基金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A类：016558，C类：016559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安信永泽一年定期开放债券型发起式证券投资基金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016734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安信数字经济股票型发起式证券投资基金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A类：017300，C类：017301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安信稳健增益6个月持有期混合型证券投资基金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A类：017540，C类：017541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安信中证同业存单AAA指数7天持有期证券投资基金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018355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安信红利精选混合型证券投资基金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A类：018381，C类：018382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安信宝利债券型证券投资基金(LOF)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D类：167501，E类：018952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安信中证一带一路主题指数型证券投资基金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167503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安信中短利率债债券型证券投资基金(LOF)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A类：167504，C类：167505，D类：019122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安信中证深圳科技创新主题指数型证券投资基金(LOF)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A类：167506，C类：167507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安信价值发现两年定期开放混合型证券投资基金(LOF)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167508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安信策略精选灵活配置混合型证券投资基金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750001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安信目标收益债券型证券投资基金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A类：750002，C类：750003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安信平稳增长混合型发起式证券投资基金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A类：750005，C类：002035</w:t>
            </w:r>
          </w:p>
        </w:tc>
      </w:tr>
      <w:tr w:rsidR="008D274C" w:rsidRPr="008D274C" w:rsidTr="008D274C">
        <w:trPr>
          <w:trHeight w:val="28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4C" w:rsidRPr="008D274C" w:rsidRDefault="008D274C" w:rsidP="008D274C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安信现金管理货币市场基金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4C" w:rsidRPr="008D274C" w:rsidRDefault="008D274C" w:rsidP="008D274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8D274C">
              <w:rPr>
                <w:rFonts w:ascii="宋体" w:hAnsi="宋体" w:cs="Arial"/>
                <w:kern w:val="0"/>
                <w:sz w:val="24"/>
                <w:szCs w:val="24"/>
              </w:rPr>
              <w:t>A类：750006，B类：750007</w:t>
            </w:r>
          </w:p>
        </w:tc>
      </w:tr>
    </w:tbl>
    <w:p w:rsidR="008D274C" w:rsidRDefault="008D274C" w:rsidP="008D27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</w:p>
    <w:p w:rsidR="009417E2" w:rsidRDefault="009417E2" w:rsidP="004E48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ascii="宋体" w:hAnsi="宋体" w:cs="Calibri" w:hint="eastAsia"/>
          <w:color w:val="000000"/>
          <w:kern w:val="0"/>
          <w:sz w:val="24"/>
          <w:szCs w:val="24"/>
        </w:rPr>
        <w:t>二、</w:t>
      </w:r>
      <w:r>
        <w:rPr>
          <w:rFonts w:ascii="宋体" w:hAnsi="宋体" w:cs="Calibri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重要提示</w:t>
      </w:r>
    </w:p>
    <w:p w:rsidR="009417E2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1.投资者在</w:t>
      </w:r>
      <w:r w:rsidR="003C745E" w:rsidRPr="003C745E">
        <w:rPr>
          <w:rFonts w:ascii="宋体" w:hAnsi="宋体" w:cs="宋体" w:hint="eastAsia"/>
          <w:color w:val="000000"/>
          <w:kern w:val="0"/>
          <w:sz w:val="24"/>
          <w:szCs w:val="24"/>
        </w:rPr>
        <w:t>中欧财富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办理上述基金投资业务，具体办理规则及程序请遵循</w:t>
      </w:r>
      <w:r w:rsidR="003C745E" w:rsidRPr="003C745E">
        <w:rPr>
          <w:rFonts w:ascii="宋体" w:hAnsi="宋体" w:cs="宋体" w:hint="eastAsia"/>
          <w:color w:val="000000"/>
          <w:kern w:val="0"/>
          <w:sz w:val="24"/>
          <w:szCs w:val="24"/>
        </w:rPr>
        <w:t>中欧财富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的规定。</w:t>
      </w:r>
      <w:r w:rsidRPr="00CC420D">
        <w:rPr>
          <w:rFonts w:ascii="宋体" w:hAnsi="宋体" w:cs="宋体" w:hint="eastAsia"/>
          <w:color w:val="000000"/>
          <w:kern w:val="0"/>
          <w:sz w:val="24"/>
          <w:szCs w:val="24"/>
        </w:rPr>
        <w:t>上述基金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可</w:t>
      </w:r>
      <w:r w:rsidRPr="00CC420D">
        <w:rPr>
          <w:rFonts w:ascii="宋体" w:hAnsi="宋体" w:cs="宋体" w:hint="eastAsia"/>
          <w:color w:val="000000"/>
          <w:kern w:val="0"/>
          <w:sz w:val="24"/>
          <w:szCs w:val="24"/>
        </w:rPr>
        <w:t>参与</w:t>
      </w:r>
      <w:r w:rsidR="003C745E" w:rsidRPr="003C745E">
        <w:rPr>
          <w:rFonts w:ascii="宋体" w:hAnsi="宋体" w:cs="宋体" w:hint="eastAsia"/>
          <w:color w:val="000000"/>
          <w:kern w:val="0"/>
          <w:sz w:val="24"/>
          <w:szCs w:val="24"/>
        </w:rPr>
        <w:t>中欧财富</w:t>
      </w:r>
      <w:r w:rsidRPr="00CC420D">
        <w:rPr>
          <w:rFonts w:ascii="宋体" w:hAnsi="宋体" w:cs="宋体" w:hint="eastAsia"/>
          <w:color w:val="000000"/>
          <w:kern w:val="0"/>
          <w:sz w:val="24"/>
          <w:szCs w:val="24"/>
        </w:rPr>
        <w:t>开展的手续费率优惠活动，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以</w:t>
      </w:r>
      <w:r w:rsidR="003C745E" w:rsidRPr="003C745E">
        <w:rPr>
          <w:rFonts w:ascii="宋体" w:hAnsi="宋体" w:cs="宋体" w:hint="eastAsia"/>
          <w:color w:val="000000"/>
          <w:kern w:val="0"/>
          <w:sz w:val="24"/>
          <w:szCs w:val="24"/>
        </w:rPr>
        <w:t>中欧财富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的公告为准，本公司不再另行公告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。</w:t>
      </w:r>
    </w:p>
    <w:p w:rsidR="009417E2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2.投资者欲了解上述基金产品的详细情况，请仔细阅读刊登于本公司网站（www.essencefund.com）的相关基金《基金合同》、《招募说明书》等法律文件及相关业务公告。</w:t>
      </w:r>
    </w:p>
    <w:p w:rsidR="009417E2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</w:p>
    <w:p w:rsidR="009417E2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1E1E1E"/>
          <w:kern w:val="0"/>
          <w:sz w:val="24"/>
          <w:szCs w:val="24"/>
        </w:rPr>
        <w:t>三、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投资者可通过以下渠道咨询详情：</w:t>
      </w:r>
    </w:p>
    <w:p w:rsidR="009417E2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1、安信基金管理有限责任公司</w:t>
      </w:r>
    </w:p>
    <w:p w:rsidR="009417E2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客户服务电话：4008-088-088</w:t>
      </w:r>
    </w:p>
    <w:p w:rsidR="009417E2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网站：</w:t>
      </w:r>
      <w:hyperlink r:id="rId7" w:history="1">
        <w:r>
          <w:rPr>
            <w:rStyle w:val="a3"/>
            <w:rFonts w:ascii="宋体" w:hAnsi="宋体" w:cs="宋体" w:hint="eastAsia"/>
            <w:kern w:val="0"/>
            <w:sz w:val="24"/>
            <w:szCs w:val="24"/>
          </w:rPr>
          <w:t>www.essencefund.com</w:t>
        </w:r>
      </w:hyperlink>
    </w:p>
    <w:p w:rsidR="009417E2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办公地址：广东省深圳市福田区莲花街道益田路6009号新世界商务中心36楼</w:t>
      </w:r>
    </w:p>
    <w:p w:rsidR="009417E2" w:rsidRPr="00B172BB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B172BB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B172BB">
        <w:rPr>
          <w:rFonts w:ascii="宋体" w:hAnsi="宋体" w:cs="宋体" w:hint="eastAsia"/>
          <w:color w:val="000000"/>
          <w:kern w:val="0"/>
          <w:sz w:val="24"/>
          <w:szCs w:val="24"/>
        </w:rPr>
        <w:t>.</w:t>
      </w:r>
      <w:r w:rsidR="006B5A15" w:rsidRPr="006B5A15">
        <w:rPr>
          <w:rFonts w:hint="eastAsia"/>
        </w:rPr>
        <w:t xml:space="preserve"> </w:t>
      </w:r>
      <w:r w:rsidR="003C745E" w:rsidRPr="003C745E">
        <w:rPr>
          <w:rFonts w:ascii="宋体" w:hAnsi="宋体" w:cs="宋体" w:hint="eastAsia"/>
          <w:color w:val="000000"/>
          <w:kern w:val="0"/>
          <w:sz w:val="24"/>
          <w:szCs w:val="24"/>
        </w:rPr>
        <w:t>上海中欧财富基金销售有限公司</w:t>
      </w:r>
    </w:p>
    <w:p w:rsidR="009417E2" w:rsidRPr="00B172BB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B172BB">
        <w:rPr>
          <w:rFonts w:ascii="宋体" w:hAnsi="宋体" w:cs="宋体" w:hint="eastAsia"/>
          <w:color w:val="000000"/>
          <w:kern w:val="0"/>
          <w:sz w:val="24"/>
          <w:szCs w:val="24"/>
        </w:rPr>
        <w:t>客户服务电话：</w:t>
      </w:r>
      <w:r w:rsidR="00E60221" w:rsidRPr="00E60221">
        <w:rPr>
          <w:rFonts w:ascii="宋体" w:hAnsi="宋体" w:cs="宋体"/>
          <w:color w:val="000000"/>
          <w:kern w:val="0"/>
          <w:sz w:val="24"/>
          <w:szCs w:val="24"/>
        </w:rPr>
        <w:t>400-100-2666</w:t>
      </w:r>
      <w:r w:rsidRPr="00B172BB">
        <w:rPr>
          <w:rFonts w:ascii="微软雅黑" w:eastAsia="微软雅黑" w:hAnsi="微软雅黑" w:cs="Arial" w:hint="eastAsia"/>
          <w:vanish/>
          <w:color w:val="000000"/>
          <w:szCs w:val="21"/>
        </w:rPr>
        <w:t>9555895558</w:t>
      </w:r>
      <w:r>
        <w:rPr>
          <w:rFonts w:ascii="微软雅黑" w:eastAsia="微软雅黑" w:hAnsi="微软雅黑" w:cs="Arial"/>
          <w:vanish/>
          <w:color w:val="000000"/>
          <w:szCs w:val="21"/>
        </w:rPr>
        <w:t xml:space="preserve"> </w:t>
      </w:r>
    </w:p>
    <w:p w:rsidR="00E60221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B172BB">
        <w:rPr>
          <w:rFonts w:ascii="宋体" w:hAnsi="宋体" w:cs="宋体" w:hint="eastAsia"/>
          <w:color w:val="000000"/>
          <w:kern w:val="0"/>
          <w:sz w:val="24"/>
          <w:szCs w:val="24"/>
        </w:rPr>
        <w:t>网站：</w:t>
      </w:r>
      <w:hyperlink r:id="rId8" w:history="1">
        <w:r w:rsidR="00E60221" w:rsidRPr="00C116A2">
          <w:rPr>
            <w:rStyle w:val="a3"/>
            <w:rFonts w:ascii="宋体" w:hAnsi="宋体" w:cs="宋体"/>
            <w:kern w:val="0"/>
            <w:sz w:val="24"/>
            <w:szCs w:val="24"/>
          </w:rPr>
          <w:t>www.zocaifu.com</w:t>
        </w:r>
      </w:hyperlink>
    </w:p>
    <w:p w:rsidR="009417E2" w:rsidRPr="00B172BB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B172BB">
        <w:rPr>
          <w:rFonts w:ascii="宋体" w:hAnsi="宋体" w:cs="宋体" w:hint="eastAsia"/>
          <w:color w:val="000000"/>
          <w:kern w:val="0"/>
          <w:sz w:val="24"/>
          <w:szCs w:val="24"/>
        </w:rPr>
        <w:t>办公地址：</w:t>
      </w:r>
      <w:r w:rsidR="00E60221" w:rsidRPr="00E60221">
        <w:rPr>
          <w:rFonts w:hint="eastAsia"/>
          <w:sz w:val="24"/>
        </w:rPr>
        <w:t>上海市虹口区公平路</w:t>
      </w:r>
      <w:r w:rsidR="00E60221" w:rsidRPr="00E60221">
        <w:rPr>
          <w:rFonts w:hint="eastAsia"/>
          <w:sz w:val="24"/>
        </w:rPr>
        <w:t>18</w:t>
      </w:r>
      <w:r w:rsidR="00E60221" w:rsidRPr="00E60221">
        <w:rPr>
          <w:rFonts w:hint="eastAsia"/>
          <w:sz w:val="24"/>
        </w:rPr>
        <w:t>号</w:t>
      </w:r>
      <w:r w:rsidR="00E60221" w:rsidRPr="00E60221">
        <w:rPr>
          <w:rFonts w:hint="eastAsia"/>
          <w:sz w:val="24"/>
        </w:rPr>
        <w:t>8</w:t>
      </w:r>
      <w:r w:rsidR="00E60221" w:rsidRPr="00E60221">
        <w:rPr>
          <w:rFonts w:hint="eastAsia"/>
          <w:sz w:val="24"/>
        </w:rPr>
        <w:t>栋嘉昱大厦</w:t>
      </w:r>
      <w:r w:rsidR="00E60221" w:rsidRPr="00E60221">
        <w:rPr>
          <w:rFonts w:hint="eastAsia"/>
          <w:sz w:val="24"/>
        </w:rPr>
        <w:t>6</w:t>
      </w:r>
      <w:r w:rsidR="00E60221" w:rsidRPr="00E60221">
        <w:rPr>
          <w:rFonts w:hint="eastAsia"/>
          <w:sz w:val="24"/>
        </w:rPr>
        <w:t>楼</w:t>
      </w:r>
    </w:p>
    <w:p w:rsidR="009417E2" w:rsidRPr="00235C5C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/>
          <w:sz w:val="24"/>
          <w:szCs w:val="24"/>
        </w:rPr>
      </w:pPr>
    </w:p>
    <w:p w:rsidR="009417E2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风险提示：本公司承诺以诚实信用、勤勉尽责的原则管理和运用基金资产，但不保证基金一定盈利，也不保证最低收益。</w:t>
      </w:r>
      <w:r w:rsidRPr="00B56963">
        <w:rPr>
          <w:rFonts w:ascii="宋体" w:hAnsi="宋体" w:cs="宋体" w:hint="eastAsia"/>
          <w:color w:val="000000"/>
          <w:kern w:val="0"/>
          <w:sz w:val="24"/>
          <w:szCs w:val="24"/>
        </w:rPr>
        <w:t>定期定额投资是引导投资人进行长期投资、平均投资成本的一种投资方式。但是定期定额投资并不能规避基金投资所固有的风险，不能保证投资人获得收益，也不是替代储蓄的等效理财方式。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基金投资有风险，敬请投资人认真阅读基金的相关法律文件，并选择适合自身风险承受能力的投资品种进行投资。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</w:p>
    <w:p w:rsidR="009417E2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</w:p>
    <w:p w:rsidR="009417E2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特此公告。</w:t>
      </w:r>
    </w:p>
    <w:p w:rsidR="009417E2" w:rsidRDefault="009417E2" w:rsidP="009417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安信</w:t>
      </w:r>
      <w:r>
        <w:rPr>
          <w:rFonts w:ascii="宋体" w:hAnsi="宋体" w:cs="宋体"/>
          <w:color w:val="000000"/>
          <w:kern w:val="0"/>
          <w:sz w:val="24"/>
          <w:szCs w:val="24"/>
        </w:rPr>
        <w:t>基金管理有限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责任</w:t>
      </w:r>
      <w:r>
        <w:rPr>
          <w:rFonts w:ascii="宋体" w:hAnsi="宋体" w:cs="宋体"/>
          <w:color w:val="000000"/>
          <w:kern w:val="0"/>
          <w:sz w:val="24"/>
          <w:szCs w:val="24"/>
        </w:rPr>
        <w:t>公司</w:t>
      </w:r>
    </w:p>
    <w:p w:rsidR="00F42757" w:rsidRPr="004E4899" w:rsidRDefault="009417E2" w:rsidP="004E48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</w:t>
      </w:r>
      <w:r>
        <w:rPr>
          <w:rFonts w:ascii="宋体" w:hAnsi="宋体" w:cs="宋体"/>
          <w:color w:val="000000"/>
          <w:kern w:val="0"/>
          <w:sz w:val="24"/>
          <w:szCs w:val="24"/>
        </w:rPr>
        <w:t>202</w:t>
      </w:r>
      <w:r w:rsidR="004E77F2"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/>
          <w:color w:val="000000"/>
          <w:kern w:val="0"/>
          <w:sz w:val="24"/>
          <w:szCs w:val="24"/>
        </w:rPr>
        <w:t>年</w:t>
      </w:r>
      <w:r w:rsidR="00E60221">
        <w:rPr>
          <w:rFonts w:ascii="宋体" w:hAnsi="宋体" w:cs="宋体"/>
          <w:color w:val="000000"/>
          <w:kern w:val="0"/>
          <w:sz w:val="24"/>
          <w:szCs w:val="24"/>
        </w:rPr>
        <w:t>12</w:t>
      </w:r>
      <w:r>
        <w:rPr>
          <w:rFonts w:ascii="宋体" w:hAnsi="宋体" w:cs="宋体"/>
          <w:color w:val="000000"/>
          <w:kern w:val="0"/>
          <w:sz w:val="24"/>
          <w:szCs w:val="24"/>
        </w:rPr>
        <w:t>月</w:t>
      </w:r>
      <w:r w:rsidR="00E60221">
        <w:rPr>
          <w:rFonts w:ascii="宋体" w:hAnsi="宋体" w:cs="宋体"/>
          <w:color w:val="000000"/>
          <w:kern w:val="0"/>
          <w:sz w:val="24"/>
          <w:szCs w:val="24"/>
        </w:rPr>
        <w:t>7</w:t>
      </w:r>
      <w:r>
        <w:rPr>
          <w:rFonts w:ascii="宋体" w:hAnsi="宋体" w:cs="宋体"/>
          <w:color w:val="000000"/>
          <w:kern w:val="0"/>
          <w:sz w:val="24"/>
          <w:szCs w:val="24"/>
        </w:rPr>
        <w:t>日</w:t>
      </w:r>
    </w:p>
    <w:sectPr w:rsidR="00F42757" w:rsidRPr="004E4899" w:rsidSect="003326F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D07" w:rsidRDefault="00E03D07" w:rsidP="001B2607">
      <w:r>
        <w:separator/>
      </w:r>
    </w:p>
  </w:endnote>
  <w:endnote w:type="continuationSeparator" w:id="0">
    <w:p w:rsidR="00E03D07" w:rsidRDefault="00E03D07" w:rsidP="001B2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D07" w:rsidRDefault="00E03D07" w:rsidP="001B2607">
      <w:r>
        <w:separator/>
      </w:r>
    </w:p>
  </w:footnote>
  <w:footnote w:type="continuationSeparator" w:id="0">
    <w:p w:rsidR="00E03D07" w:rsidRDefault="00E03D07" w:rsidP="001B2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0FC"/>
    <w:multiLevelType w:val="hybridMultilevel"/>
    <w:tmpl w:val="5F3AA6DC"/>
    <w:lvl w:ilvl="0" w:tplc="6E2E5E7E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7E2"/>
    <w:rsid w:val="000A7EEE"/>
    <w:rsid w:val="000D39E0"/>
    <w:rsid w:val="001B05E7"/>
    <w:rsid w:val="001B2607"/>
    <w:rsid w:val="0022093D"/>
    <w:rsid w:val="002747DB"/>
    <w:rsid w:val="002B405F"/>
    <w:rsid w:val="003326FB"/>
    <w:rsid w:val="00395958"/>
    <w:rsid w:val="003C745E"/>
    <w:rsid w:val="004E4899"/>
    <w:rsid w:val="004E77F2"/>
    <w:rsid w:val="004F6EA8"/>
    <w:rsid w:val="006B5A15"/>
    <w:rsid w:val="006C5D2E"/>
    <w:rsid w:val="00730CAE"/>
    <w:rsid w:val="008514A3"/>
    <w:rsid w:val="00866FFD"/>
    <w:rsid w:val="008C51F4"/>
    <w:rsid w:val="008D274C"/>
    <w:rsid w:val="008E1BCE"/>
    <w:rsid w:val="008F27F9"/>
    <w:rsid w:val="0092721E"/>
    <w:rsid w:val="009417E2"/>
    <w:rsid w:val="00A86466"/>
    <w:rsid w:val="00BD683A"/>
    <w:rsid w:val="00BE58D0"/>
    <w:rsid w:val="00C519D2"/>
    <w:rsid w:val="00D50D7A"/>
    <w:rsid w:val="00D85365"/>
    <w:rsid w:val="00E03D07"/>
    <w:rsid w:val="00E12102"/>
    <w:rsid w:val="00E60221"/>
    <w:rsid w:val="00F42757"/>
    <w:rsid w:val="00FC4B7D"/>
    <w:rsid w:val="00FD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17E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E1BC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E1BCE"/>
    <w:rPr>
      <w:rFonts w:ascii="Calibri" w:eastAsia="宋体" w:hAnsi="Calibri" w:cs="Times New Roman"/>
      <w:sz w:val="18"/>
      <w:szCs w:val="18"/>
    </w:rPr>
  </w:style>
  <w:style w:type="paragraph" w:styleId="a5">
    <w:name w:val="Revision"/>
    <w:hidden/>
    <w:uiPriority w:val="99"/>
    <w:semiHidden/>
    <w:rsid w:val="001B2607"/>
    <w:rPr>
      <w:rFonts w:ascii="Calibri" w:eastAsia="宋体" w:hAnsi="Calibri" w:cs="Times New Roman"/>
    </w:rPr>
  </w:style>
  <w:style w:type="paragraph" w:styleId="a6">
    <w:name w:val="header"/>
    <w:basedOn w:val="a"/>
    <w:link w:val="Char0"/>
    <w:uiPriority w:val="99"/>
    <w:unhideWhenUsed/>
    <w:rsid w:val="001B2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B2607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B2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B2607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6C5D2E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E6022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caif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sencefu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3526</Characters>
  <Application>Microsoft Office Word</Application>
  <DocSecurity>4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婕</dc:creator>
  <cp:keywords/>
  <dc:description/>
  <cp:lastModifiedBy>ZHONGM</cp:lastModifiedBy>
  <cp:revision>2</cp:revision>
  <dcterms:created xsi:type="dcterms:W3CDTF">2023-12-06T16:01:00Z</dcterms:created>
  <dcterms:modified xsi:type="dcterms:W3CDTF">2023-12-06T16:01:00Z</dcterms:modified>
</cp:coreProperties>
</file>