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79EB" w:rsidRDefault="001479EB" w:rsidP="008716E7">
      <w:pPr>
        <w:pStyle w:val="XBRL2"/>
        <w:spacing w:before="156"/>
        <w:rPr>
          <w:lang w:eastAsia="zh-CN"/>
        </w:rPr>
      </w:pPr>
      <w:bookmarkStart w:id="0" w:name="_Toc510201001"/>
      <w:bookmarkEnd w:id="0"/>
      <w:r>
        <w:rPr>
          <w:lang w:eastAsia="zh-CN"/>
        </w:rPr>
        <w:t xml:space="preserve">　</w:t>
      </w:r>
      <w:r>
        <w:rPr>
          <w:lang w:eastAsia="zh-CN"/>
        </w:rPr>
        <w:t xml:space="preserve"> </w:t>
      </w:r>
    </w:p>
    <w:p w:rsidR="001479EB" w:rsidRDefault="001479EB">
      <w:pPr>
        <w:jc w:val="center"/>
      </w:pPr>
      <w:r>
        <w:rPr>
          <w:rFonts w:cs="Times New Roman" w:hint="eastAsia"/>
          <w:b/>
          <w:sz w:val="48"/>
          <w:szCs w:val="48"/>
        </w:rPr>
        <w:t>泰康润颐63个月定期开放债券型证券投资基金2023年第三次分红公告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560" w:lineRule="exact"/>
        <w:jc w:val="center"/>
        <w:rPr>
          <w:rFonts w:hint="eastAsia"/>
          <w:color w:val="000000"/>
          <w:kern w:val="0"/>
          <w:sz w:val="18"/>
        </w:rPr>
      </w:pPr>
      <w:r>
        <w:rPr>
          <w:rFonts w:hint="eastAsia"/>
          <w:color w:val="000000"/>
          <w:kern w:val="0"/>
          <w:sz w:val="18"/>
        </w:rPr>
        <w:t xml:space="preserve">　 </w:t>
      </w:r>
    </w:p>
    <w:p w:rsidR="001479EB" w:rsidRDefault="001479EB">
      <w:pPr>
        <w:spacing w:line="360" w:lineRule="auto"/>
        <w:jc w:val="center"/>
        <w:rPr>
          <w:rFonts w:hint="eastAsia"/>
        </w:rPr>
      </w:pPr>
      <w:r>
        <w:rPr>
          <w:rFonts w:hint="eastAsia"/>
          <w:b/>
          <w:bCs/>
          <w:sz w:val="24"/>
          <w:szCs w:val="30"/>
        </w:rPr>
        <w:t>公告送出日期：2023年12月7日</w:t>
      </w:r>
    </w:p>
    <w:p w:rsidR="001479EB" w:rsidRDefault="001479EB" w:rsidP="008716E7">
      <w:pPr>
        <w:pStyle w:val="XBRLTitle1"/>
        <w:spacing w:before="156"/>
        <w:jc w:val="left"/>
        <w:rPr>
          <w:rFonts w:hint="eastAsia"/>
        </w:rPr>
      </w:pPr>
      <w:r>
        <w:rPr>
          <w:rFonts w:hint="eastAsia"/>
          <w:color w:val="404040"/>
          <w:kern w:val="0"/>
        </w:rPr>
        <w:br w:type="page"/>
      </w:r>
      <w:bookmarkStart w:id="1" w:name="_Toc17898178"/>
      <w:bookmarkStart w:id="2" w:name="_Toc17897936"/>
      <w:bookmarkStart w:id="3" w:name="_Toc512519480"/>
      <w:bookmarkStart w:id="4" w:name="_Toc481075046"/>
      <w:bookmarkStart w:id="5" w:name="_Toc438646451"/>
      <w:bookmarkStart w:id="6" w:name="_Toc490050000"/>
      <w:bookmarkStart w:id="7" w:name="_Toc513295846"/>
      <w:bookmarkStart w:id="8" w:name="_Toc513295892"/>
      <w:bookmarkStart w:id="9" w:name="_Toc34322059"/>
      <w:bookmarkStart w:id="10" w:name="m101"/>
      <w:bookmarkStart w:id="11" w:name="m01_01"/>
      <w:bookmarkStart w:id="12" w:name="_Toc194311890"/>
      <w:r>
        <w:rPr>
          <w:rFonts w:hint="eastAsia"/>
          <w:szCs w:val="24"/>
        </w:rPr>
        <w:t>公告基本信息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>
        <w:rPr>
          <w:rFonts w:hint="eastAsia"/>
          <w:szCs w:val="24"/>
        </w:rPr>
        <w:t xml:space="preserve"> </w:t>
      </w:r>
    </w:p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53"/>
        <w:gridCol w:w="3824"/>
        <w:gridCol w:w="3143"/>
      </w:tblGrid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基金名称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泰康润颐63个月定期开放债券型证券投资基金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基金简称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泰康润颐63个月定开债券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基金主代码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007600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基金合同生效日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2020年7月27日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基金管理人名称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泰康基金管理有限公司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基金托管人名称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招商银行股份有限公司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公告依据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《公开募集证券投资基金信息披露管理办法》、《泰康润颐63个月定期开放债券型证券投资基金基金合同》、《泰康润颐63个月定期开放债券型证券投资基金招募说明书》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收益分配基准日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2023年11月30日</w:t>
            </w:r>
          </w:p>
        </w:tc>
      </w:tr>
      <w:tr w:rsidR="001479EB"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截止收益分配基准日的相关指标 </w:t>
            </w: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基准日基金份额净值（单位： 人民币元）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1.0471</w:t>
            </w:r>
          </w:p>
        </w:tc>
      </w:tr>
      <w:tr w:rsidR="001479EB">
        <w:tc>
          <w:tcPr>
            <w:tcW w:w="5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EB" w:rsidRDefault="001479EB">
            <w:pPr>
              <w:widowControl/>
              <w:jc w:val="left"/>
            </w:pPr>
          </w:p>
        </w:tc>
        <w:tc>
          <w:tcPr>
            <w:tcW w:w="3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基准日基金可供分配利润（单位： 人民币元）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376,564,088.99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本次分红方案（单位：元/10份基金份额）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0.2094</w:t>
            </w:r>
          </w:p>
        </w:tc>
      </w:tr>
      <w:tr w:rsidR="001479EB">
        <w:tc>
          <w:tcPr>
            <w:tcW w:w="56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有关年度分红次数的说明 </w:t>
            </w:r>
          </w:p>
        </w:tc>
        <w:tc>
          <w:tcPr>
            <w:tcW w:w="3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EB" w:rsidRDefault="001479EB">
            <w:r>
              <w:rPr>
                <w:rFonts w:hint="eastAsia"/>
                <w:szCs w:val="21"/>
              </w:rPr>
              <w:t>本次分红为2023年度的第三次分红</w:t>
            </w:r>
          </w:p>
        </w:tc>
      </w:tr>
    </w:tbl>
    <w:p w:rsidR="001479EB" w:rsidRDefault="001479EB" w:rsidP="008716E7">
      <w:pPr>
        <w:pStyle w:val="XBRLTitle1"/>
        <w:spacing w:before="156" w:line="360" w:lineRule="auto"/>
        <w:jc w:val="left"/>
        <w:rPr>
          <w:rFonts w:hint="eastAsia"/>
        </w:rPr>
      </w:pPr>
      <w:bookmarkStart w:id="13" w:name="_Toc17898179"/>
      <w:bookmarkStart w:id="14" w:name="_Toc17897937"/>
      <w:bookmarkStart w:id="15" w:name="_Toc512519481"/>
      <w:bookmarkStart w:id="16" w:name="_Toc481075047"/>
      <w:bookmarkStart w:id="17" w:name="_Toc438646452"/>
      <w:bookmarkStart w:id="18" w:name="_Toc490050001"/>
      <w:bookmarkStart w:id="19" w:name="_Toc513295847"/>
      <w:bookmarkStart w:id="20" w:name="_Toc513295893"/>
      <w:bookmarkStart w:id="21" w:name="_Toc34322060"/>
      <w:r>
        <w:rPr>
          <w:rFonts w:hAnsi="宋体" w:hint="eastAsia"/>
          <w:szCs w:val="24"/>
        </w:rPr>
        <w:t>与分红相关的其他信息</w:t>
      </w:r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r>
        <w:rPr>
          <w:rFonts w:hAnsi="宋体" w:hint="eastAsia"/>
          <w:szCs w:val="24"/>
        </w:rPr>
        <w:t xml:space="preserve"> </w:t>
      </w:r>
      <w:bookmarkEnd w:id="10"/>
      <w:bookmarkEnd w:id="11"/>
      <w:bookmarkEnd w:id="12"/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8"/>
        <w:gridCol w:w="4817"/>
      </w:tblGrid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权益登记日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2023年12月08日</w:t>
            </w:r>
          </w:p>
        </w:tc>
      </w:tr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除息日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2023年12月08日</w:t>
            </w:r>
          </w:p>
        </w:tc>
      </w:tr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现金红利发放日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2023年12月11日</w:t>
            </w:r>
          </w:p>
        </w:tc>
      </w:tr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分红对象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权益登记日在泰康基金管理有限公司登记在册的本基金全体持有人。</w:t>
            </w:r>
          </w:p>
        </w:tc>
      </w:tr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红利再投资相关事项的说明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1、选择红利再投资的投资者，其现金红利将按2023年12月08日的基金份额净值实施转换。</w:t>
            </w:r>
            <w:r>
              <w:rPr>
                <w:rFonts w:hint="eastAsia"/>
                <w:szCs w:val="21"/>
              </w:rPr>
              <w:br/>
              <w:t>2、选择红利再投资方式的投资者所转换的基金份额将于2023年12月11日直接计入其基金账户，2023年12月12日起可以查询，并可以在基金规定的开放运作期内赎回。</w:t>
            </w:r>
          </w:p>
        </w:tc>
      </w:tr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税收相关事项的说明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根据国家税收规定，基金向投资者分配的基金收益，暂免征收所得税。</w:t>
            </w:r>
          </w:p>
        </w:tc>
      </w:tr>
      <w:tr w:rsidR="001479EB">
        <w:tc>
          <w:tcPr>
            <w:tcW w:w="3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 xml:space="preserve">费用相关事项的说明 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79EB" w:rsidRDefault="001479EB">
            <w:r>
              <w:rPr>
                <w:rFonts w:hint="eastAsia"/>
                <w:szCs w:val="21"/>
              </w:rPr>
              <w:t>1、本基金本次分红免收分红手续费。</w:t>
            </w:r>
            <w:r>
              <w:rPr>
                <w:rFonts w:hint="eastAsia"/>
                <w:szCs w:val="21"/>
              </w:rPr>
              <w:br/>
              <w:t>2、选择红利再投资方式的投资者，其红利所转换的基金份额免收申购费用。</w:t>
            </w:r>
          </w:p>
        </w:tc>
      </w:tr>
    </w:tbl>
    <w:p w:rsidR="001479EB" w:rsidRDefault="001479EB" w:rsidP="008716E7">
      <w:pPr>
        <w:adjustRightInd w:val="0"/>
        <w:snapToGrid w:val="0"/>
        <w:spacing w:beforeLines="50" w:line="360" w:lineRule="auto"/>
        <w:jc w:val="left"/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szCs w:val="24"/>
          <w:lang/>
        </w:rPr>
        <w:t>（1）选择现金分红方式的投资者的红利款将于2023年12月11日自基金托管账户划出。</w:t>
      </w:r>
      <w:r>
        <w:rPr>
          <w:rFonts w:hint="eastAsia"/>
          <w:szCs w:val="24"/>
          <w:lang/>
        </w:rPr>
        <w:br/>
        <w:t xml:space="preserve">　　（2）冻结基金份额的红利发放按照《泰康基金管理有限公司开放式基金业务规则》的相关规定处理。 </w:t>
      </w:r>
    </w:p>
    <w:p w:rsidR="001479EB" w:rsidRDefault="001479EB" w:rsidP="008716E7">
      <w:pPr>
        <w:pStyle w:val="XBRLTitle1"/>
        <w:spacing w:before="156" w:line="360" w:lineRule="auto"/>
        <w:jc w:val="left"/>
        <w:rPr>
          <w:rFonts w:hint="eastAsia"/>
        </w:rPr>
      </w:pPr>
      <w:bookmarkStart w:id="22" w:name="_Toc17898228"/>
      <w:bookmarkStart w:id="23" w:name="_Toc17897969"/>
      <w:bookmarkStart w:id="24" w:name="_Toc512519529"/>
      <w:bookmarkStart w:id="25" w:name="_Toc490050049"/>
      <w:bookmarkStart w:id="26" w:name="_Toc481075097"/>
      <w:bookmarkStart w:id="27" w:name="_Toc438646481"/>
      <w:bookmarkStart w:id="28" w:name="_Toc513295878"/>
      <w:bookmarkStart w:id="29" w:name="_Toc513295941"/>
      <w:bookmarkStart w:id="30" w:name="_Toc34322063"/>
      <w:bookmarkStart w:id="31" w:name="m201_01"/>
      <w:r>
        <w:rPr>
          <w:rFonts w:hAnsi="宋体" w:hint="eastAsia"/>
          <w:szCs w:val="24"/>
        </w:rPr>
        <w:t>其他需要提示的事项</w:t>
      </w:r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r>
        <w:rPr>
          <w:rFonts w:hAnsi="宋体" w:hint="eastAsia"/>
          <w:szCs w:val="24"/>
        </w:rPr>
        <w:t xml:space="preserve"> </w:t>
      </w:r>
    </w:p>
    <w:p w:rsidR="001479EB" w:rsidRDefault="001479EB">
      <w:pPr>
        <w:spacing w:line="360" w:lineRule="auto"/>
        <w:ind w:firstLineChars="200" w:firstLine="420"/>
        <w:jc w:val="left"/>
        <w:rPr>
          <w:rFonts w:hint="eastAsia"/>
        </w:rPr>
      </w:pPr>
      <w:r>
        <w:rPr>
          <w:rFonts w:hint="eastAsia"/>
          <w:szCs w:val="21"/>
        </w:rPr>
        <w:t>（1）对于未选择具体分红方式的投资者，本基金默认的分红方式为现金分红。</w:t>
      </w:r>
      <w:r>
        <w:rPr>
          <w:rFonts w:hint="eastAsia"/>
          <w:szCs w:val="21"/>
        </w:rPr>
        <w:br/>
        <w:t xml:space="preserve">　　（2）投资者也可通过本公司网站（www.tkfunds.com.cn）或拨打全国免长途话费的客户服务电话（400-189-5522）查询最后一次选择成功的分红方式。如希望变更分红方式的，请于权益登记日之前（不含权益登记日），在基金开放日的交易时间内通过销售网点办理变更手续。本次分红方式将以投资者在权益登记日之前（不含权益登记日）最后一次选择的分红方式为准。</w:t>
      </w:r>
      <w:r>
        <w:rPr>
          <w:rFonts w:hint="eastAsia"/>
          <w:szCs w:val="21"/>
        </w:rPr>
        <w:br/>
        <w:t xml:space="preserve">　　（3）基金分红导致基金净值变化不会改变基金的风险收益特征，不会降低基金投资风险或提高基金投资收益。若因分红导致基金份额净值调整至1元附近，在市场波动等因素的影响下，基金投资仍有可能出现亏损或基金份额净值低于初始面值的情况。</w:t>
      </w:r>
      <w:r>
        <w:rPr>
          <w:rFonts w:hint="eastAsia"/>
          <w:szCs w:val="21"/>
        </w:rPr>
        <w:br/>
        <w:t xml:space="preserve">　　风险提示：本基金管理人承诺以诚实信用、勤勉尽责的原则管理和运用基金资产，但不保证基金一定盈利，也不保证最低收益。基金的过往业绩并不预示其未来表现。投资有风险，敬请投资人于投资前认真阅读相关基金的基金合同、基金招募说明书和招募说明书（更新）等法律文件，并选择适合自己风险承受能力的投资品种进行投资。</w:t>
      </w:r>
      <w:r>
        <w:rPr>
          <w:rFonts w:hint="eastAsia"/>
          <w:szCs w:val="21"/>
        </w:rPr>
        <w:br/>
        <w:t xml:space="preserve">　　特此公告。</w:t>
      </w:r>
    </w:p>
    <w:p w:rsidR="001479EB" w:rsidRDefault="001479EB" w:rsidP="008716E7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1479EB" w:rsidRDefault="001479EB" w:rsidP="008716E7">
      <w:pPr>
        <w:spacing w:line="360" w:lineRule="auto"/>
        <w:ind w:firstLineChars="600" w:firstLine="1446"/>
        <w:jc w:val="right"/>
        <w:rPr>
          <w:rFonts w:hint="eastAsia"/>
          <w:b/>
          <w:bCs/>
          <w:sz w:val="24"/>
          <w:szCs w:val="30"/>
        </w:rPr>
      </w:pPr>
      <w:r>
        <w:rPr>
          <w:rFonts w:hint="eastAsia"/>
          <w:b/>
          <w:bCs/>
          <w:sz w:val="24"/>
          <w:szCs w:val="30"/>
        </w:rPr>
        <w:t xml:space="preserve">　 </w:t>
      </w:r>
    </w:p>
    <w:p w:rsidR="001479EB" w:rsidRDefault="001479E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泰康基金管理有限公司</w:t>
      </w:r>
    </w:p>
    <w:p w:rsidR="001479EB" w:rsidRDefault="001479EB">
      <w:pPr>
        <w:spacing w:line="360" w:lineRule="auto"/>
        <w:ind w:firstLineChars="600" w:firstLine="1446"/>
        <w:jc w:val="right"/>
        <w:rPr>
          <w:rFonts w:hint="eastAsia"/>
        </w:rPr>
      </w:pPr>
      <w:r>
        <w:rPr>
          <w:rFonts w:hint="eastAsia"/>
          <w:b/>
          <w:bCs/>
          <w:sz w:val="24"/>
          <w:szCs w:val="24"/>
        </w:rPr>
        <w:t>2023年12月7日</w:t>
      </w:r>
      <w:bookmarkEnd w:id="31"/>
    </w:p>
    <w:sectPr w:rsidR="001479EB">
      <w:headerReference w:type="default" r:id="rId8"/>
      <w:footerReference w:type="default" r:id="rId9"/>
      <w:pgSz w:w="11907" w:h="16839"/>
      <w:pgMar w:top="1440" w:right="1531" w:bottom="1134" w:left="1531" w:header="851" w:footer="992" w:gutter="0"/>
      <w:pgNumType w:start="1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79EB" w:rsidRDefault="001479E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  <w:endnote w:type="continuationSeparator" w:id="0">
    <w:p w:rsidR="001479EB" w:rsidRDefault="001479E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icrosoft YaHei UI">
    <w:charset w:val="86"/>
    <w:family w:val="swiss"/>
    <w:pitch w:val="variable"/>
    <w:sig w:usb0="80000287" w:usb1="28CF3C52" w:usb2="00000016" w:usb3="00000000" w:csb0="0004001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B" w:rsidRDefault="001479EB">
    <w:pPr>
      <w:jc w:val="center"/>
      <w:rPr>
        <w:rFonts w:hint="eastAsia"/>
      </w:rPr>
    </w:pPr>
    <w:r>
      <w:rPr>
        <w:rFonts w:hint="eastAsia"/>
        <w:sz w:val="18"/>
        <w:szCs w:val="18"/>
      </w:rPr>
      <w:t>第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PAGE </w:instrText>
    </w:r>
    <w:r>
      <w:rPr>
        <w:sz w:val="18"/>
        <w:szCs w:val="18"/>
      </w:rPr>
      <w:fldChar w:fldCharType="separate"/>
    </w:r>
    <w:r w:rsidR="008716E7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  <w:lang w:val="zh-CN"/>
      </w:rPr>
      <w:t>页 共</w:t>
    </w:r>
    <w:r>
      <w:rPr>
        <w:rFonts w:hint="eastAsia"/>
      </w:rPr>
      <w:t xml:space="preserve"> </w:t>
    </w:r>
    <w:r>
      <w:rPr>
        <w:rFonts w:hint="eastAsia"/>
        <w:sz w:val="18"/>
        <w:szCs w:val="18"/>
      </w:rPr>
      <w:fldChar w:fldCharType="begin"/>
    </w:r>
    <w:r>
      <w:rPr>
        <w:rFonts w:hint="eastAsia"/>
        <w:sz w:val="18"/>
        <w:szCs w:val="18"/>
      </w:rPr>
      <w:instrText xml:space="preserve"> NUMPAGES  </w:instrText>
    </w:r>
    <w:r>
      <w:rPr>
        <w:sz w:val="18"/>
        <w:szCs w:val="18"/>
      </w:rPr>
      <w:fldChar w:fldCharType="separate"/>
    </w:r>
    <w:r w:rsidR="008716E7">
      <w:rPr>
        <w:noProof/>
        <w:sz w:val="18"/>
        <w:szCs w:val="18"/>
      </w:rPr>
      <w:t>2</w:t>
    </w:r>
    <w:r>
      <w:rPr>
        <w:rFonts w:hint="eastAsia"/>
        <w:sz w:val="18"/>
        <w:szCs w:val="18"/>
      </w:rPr>
      <w:fldChar w:fldCharType="end"/>
    </w:r>
    <w:r>
      <w:rPr>
        <w:rFonts w:hint="eastAsia"/>
        <w:sz w:val="18"/>
        <w:szCs w:val="18"/>
      </w:rPr>
      <w:t>页</w:t>
    </w:r>
    <w:r>
      <w:rPr>
        <w:rFonts w:hint="eastAsia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79EB" w:rsidRDefault="001479EB">
      <w:pPr>
        <w:rPr>
          <w:szCs w:val="21"/>
        </w:rPr>
      </w:pPr>
      <w:r>
        <w:rPr>
          <w:rFonts w:ascii="Times New Roman" w:hAnsi="Times New Roman" w:cs="Times New Roman"/>
          <w:szCs w:val="21"/>
        </w:rPr>
        <w: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  <w:footnote w:type="continuationSeparator" w:id="0">
    <w:p w:rsidR="001479EB" w:rsidRDefault="001479EB">
      <w:pPr>
        <w:rPr>
          <w:rFonts w:hint="eastAsia"/>
          <w:szCs w:val="21"/>
        </w:rPr>
      </w:pPr>
      <w:r>
        <w:rPr>
          <w:rFonts w:ascii="Times New Roman" w:hAnsi="Times New Roman" w:cs="Times New Roman"/>
          <w:szCs w:val="21"/>
        </w:rPr>
        <w:continuationSeparator/>
      </w:r>
      <w:r>
        <w:rPr>
          <w:rFonts w:ascii="Times New Roman" w:hAnsi="Times New Roman" w:cs="Times New Roman" w:hint="eastAsia"/>
          <w:szCs w:val="21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79EB" w:rsidRDefault="001479EB">
    <w:pPr>
      <w:pStyle w:val="a7"/>
      <w:jc w:val="right"/>
      <w:rPr>
        <w:rFonts w:hint="eastAsia"/>
      </w:rPr>
    </w:pPr>
    <w:r>
      <w:rPr>
        <w:rFonts w:hint="eastAsia"/>
      </w:rPr>
      <w:t>泰康润颐63个月定期开放债券型证券投资基金2023年第三次分红公告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7D73EE"/>
    <w:multiLevelType w:val="multilevel"/>
    <w:tmpl w:val="804A17E2"/>
    <w:lvl w:ilvl="0">
      <w:start w:val="1"/>
      <w:numFmt w:val="decimal"/>
      <w:pStyle w:val="XBRLTitle1"/>
      <w:lvlText w:val="%1."/>
      <w:lvlJc w:val="left"/>
      <w:pPr>
        <w:ind w:left="425" w:hanging="425"/>
      </w:pPr>
      <w:rPr>
        <w:sz w:val="24"/>
        <w:szCs w:val="24"/>
      </w:rPr>
    </w:lvl>
    <w:lvl w:ilvl="1">
      <w:start w:val="1"/>
      <w:numFmt w:val="decimal"/>
      <w:pStyle w:val="XBRLTitle2"/>
      <w:suff w:val="space"/>
      <w:lvlText w:val="%1.%2"/>
      <w:lvlJc w:val="left"/>
      <w:pPr>
        <w:ind w:left="3148" w:hanging="454"/>
      </w:pPr>
    </w:lvl>
    <w:lvl w:ilvl="2">
      <w:start w:val="1"/>
      <w:numFmt w:val="decimal"/>
      <w:pStyle w:val="XBRLTitle3"/>
      <w:suff w:val="space"/>
      <w:lvlText w:val="%1.%2.%3"/>
      <w:lvlJc w:val="left"/>
      <w:pPr>
        <w:ind w:left="1050" w:hanging="624"/>
      </w:pPr>
      <w:rPr>
        <w:sz w:val="24"/>
        <w:szCs w:val="24"/>
      </w:rPr>
    </w:lvl>
    <w:lvl w:ilvl="3">
      <w:start w:val="1"/>
      <w:numFmt w:val="decimal"/>
      <w:suff w:val="space"/>
      <w:lvlText w:val="%1.%2.%3.%4"/>
      <w:lvlJc w:val="left"/>
      <w:pPr>
        <w:ind w:left="794" w:hanging="794"/>
      </w:pPr>
    </w:lvl>
    <w:lvl w:ilvl="4">
      <w:start w:val="1"/>
      <w:numFmt w:val="decimal"/>
      <w:suff w:val="space"/>
      <w:lvlText w:val="%1.%2.%3.%4.%5"/>
      <w:lvlJc w:val="left"/>
      <w:pPr>
        <w:ind w:left="1021" w:hanging="1021"/>
      </w:pPr>
    </w:lvl>
    <w:lvl w:ilvl="5">
      <w:start w:val="1"/>
      <w:numFmt w:val="decimal"/>
      <w:suff w:val="space"/>
      <w:lvlText w:val="%1.%2.%3.%4.%5.%6"/>
      <w:lvlJc w:val="left"/>
      <w:pPr>
        <w:ind w:left="1021" w:hanging="1021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40"/>
  <w:mirrorMargins/>
  <w:bordersDoNotSurroundHeader/>
  <w:bordersDoNotSurroundFooter/>
  <w:attachedTemplate r:id="rId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16E7"/>
    <w:rsid w:val="001479EB"/>
    <w:rsid w:val="008716E7"/>
    <w:rsid w:val="00F831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宋体" w:eastAsia="宋体" w:hAnsi="宋体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/>
    <w:lsdException w:name="header" w:semiHidden="0" w:unhideWhenUsed="0"/>
    <w:lsdException w:name="footer" w:semiHidden="0" w:unhideWhenUsed="0"/>
    <w:lsdException w:name="caption" w:uiPriority="35" w:qFormat="1"/>
    <w:lsdException w:name="footnote reference" w:semiHidden="0" w:uiPriority="0" w:unhideWhenUsed="0"/>
    <w:lsdException w:name="page number" w:semiHidden="0" w:unhideWhenUsed="0"/>
    <w:lsdException w:name="Title" w:semiHidden="0" w:uiPriority="10" w:unhideWhenUsed="0" w:qFormat="1"/>
    <w:lsdException w:name="Default Paragraph Font" w:semiHidden="0" w:uiPriority="1" w:unhideWhenUsed="0"/>
    <w:lsdException w:name="Subtitle" w:semiHidden="0" w:uiPriority="0" w:unhideWhenUsed="0" w:qFormat="1"/>
    <w:lsdException w:name="Date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Document Map" w:semiHidden="0" w:uiPriority="0" w:unhideWhenUsed="0"/>
    <w:lsdException w:name="Normal (Web)" w:semiHidden="0" w:uiPriority="0" w:unhideWhenUsed="0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cs="宋体"/>
      <w:kern w:val="2"/>
      <w:sz w:val="21"/>
    </w:rPr>
  </w:style>
  <w:style w:type="paragraph" w:styleId="1">
    <w:name w:val="heading 1"/>
    <w:basedOn w:val="a"/>
    <w:next w:val="a"/>
    <w:link w:val="1Char1"/>
    <w:uiPriority w:val="9"/>
    <w:qFormat/>
    <w:pPr>
      <w:keepNext/>
      <w:keepLines/>
      <w:spacing w:before="340" w:after="330" w:line="576" w:lineRule="auto"/>
      <w:outlineLvl w:val="0"/>
    </w:pPr>
    <w:rPr>
      <w:b/>
      <w:bCs/>
      <w:kern w:val="44"/>
      <w:sz w:val="44"/>
      <w:szCs w:val="44"/>
      <w:lang/>
    </w:rPr>
  </w:style>
  <w:style w:type="paragraph" w:styleId="2">
    <w:name w:val="heading 2"/>
    <w:basedOn w:val="a"/>
    <w:next w:val="a"/>
    <w:link w:val="2Char1"/>
    <w:uiPriority w:val="9"/>
    <w:qFormat/>
    <w:pPr>
      <w:keepNext/>
      <w:keepLines/>
      <w:spacing w:before="260" w:after="260" w:line="408" w:lineRule="auto"/>
      <w:outlineLvl w:val="1"/>
    </w:pPr>
    <w:rPr>
      <w:rFonts w:ascii="Cambria" w:hAnsi="Cambria"/>
      <w:b/>
      <w:bCs/>
      <w:kern w:val="0"/>
      <w:sz w:val="32"/>
      <w:szCs w:val="32"/>
      <w:lang/>
    </w:rPr>
  </w:style>
  <w:style w:type="paragraph" w:styleId="3">
    <w:name w:val="heading 3"/>
    <w:basedOn w:val="a"/>
    <w:next w:val="a"/>
    <w:link w:val="3Char1"/>
    <w:uiPriority w:val="9"/>
    <w:qFormat/>
    <w:pPr>
      <w:keepNext/>
      <w:keepLines/>
      <w:spacing w:before="260" w:after="260" w:line="408" w:lineRule="auto"/>
      <w:outlineLvl w:val="2"/>
    </w:pPr>
    <w:rPr>
      <w:b/>
      <w:bCs/>
      <w:kern w:val="0"/>
      <w:sz w:val="32"/>
      <w:szCs w:val="32"/>
      <w:lang/>
    </w:rPr>
  </w:style>
  <w:style w:type="paragraph" w:styleId="4">
    <w:name w:val="heading 4"/>
    <w:basedOn w:val="a"/>
    <w:next w:val="a"/>
    <w:link w:val="4Char1"/>
    <w:qFormat/>
    <w:pPr>
      <w:keepNext/>
      <w:keepLines/>
      <w:spacing w:before="240" w:after="290" w:line="372" w:lineRule="auto"/>
      <w:outlineLvl w:val="3"/>
    </w:pPr>
    <w:rPr>
      <w:rFonts w:ascii="Cambria" w:hAnsi="Cambria"/>
      <w:b/>
      <w:bCs/>
      <w:kern w:val="0"/>
      <w:sz w:val="24"/>
      <w:szCs w:val="24"/>
      <w:lang/>
    </w:rPr>
  </w:style>
  <w:style w:type="paragraph" w:styleId="5">
    <w:name w:val="heading 5"/>
    <w:basedOn w:val="a"/>
    <w:next w:val="a"/>
    <w:link w:val="5Char1"/>
    <w:uiPriority w:val="9"/>
    <w:semiHidden/>
    <w:unhideWhenUsed/>
    <w:qFormat/>
    <w:pPr>
      <w:keepNext/>
      <w:keepLines/>
      <w:spacing w:before="240" w:after="290" w:line="372" w:lineRule="auto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Char1"/>
    <w:uiPriority w:val="9"/>
    <w:semiHidden/>
    <w:unhideWhenUsed/>
    <w:qFormat/>
    <w:pPr>
      <w:keepNext/>
      <w:keepLines/>
      <w:spacing w:before="240" w:after="64" w:line="312" w:lineRule="auto"/>
      <w:outlineLvl w:val="5"/>
    </w:pPr>
    <w:rPr>
      <w:rFonts w:ascii="Cambria" w:hAnsi="Cambr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Pr>
      <w:color w:val="0000FF"/>
      <w:u w:val="single"/>
    </w:rPr>
  </w:style>
  <w:style w:type="character" w:styleId="a4">
    <w:name w:val="访问过的超链接"/>
    <w:uiPriority w:val="99"/>
    <w:semiHidden/>
    <w:unhideWhenUsed/>
    <w:rPr>
      <w:color w:val="800080"/>
      <w:u w:val="single"/>
    </w:rPr>
  </w:style>
  <w:style w:type="character" w:customStyle="1" w:styleId="1Char">
    <w:name w:val="标题 1 Char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Char">
    <w:name w:val="标题 3 Char"/>
    <w:link w:val="3"/>
    <w:uiPriority w:val="9"/>
    <w:locked/>
    <w:rPr>
      <w:b/>
      <w:bCs/>
      <w:kern w:val="2"/>
      <w:sz w:val="32"/>
      <w:szCs w:val="32"/>
    </w:rPr>
  </w:style>
  <w:style w:type="character" w:customStyle="1" w:styleId="4Char">
    <w:name w:val="标题 4 Char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5Char">
    <w:name w:val="标题 5 Char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">
    <w:name w:val="标题 6 Char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paragraph" w:styleId="a5">
    <w:name w:val="Normal (Web)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styleId="10">
    <w:name w:val="toc 1"/>
    <w:basedOn w:val="a"/>
    <w:next w:val="a"/>
    <w:autoRedefine/>
    <w:uiPriority w:val="39"/>
    <w:semiHidden/>
    <w:unhideWhenUsed/>
    <w:pPr>
      <w:tabs>
        <w:tab w:val="right" w:leader="dot" w:pos="8835"/>
      </w:tabs>
    </w:pPr>
    <w:rPr>
      <w:noProof/>
    </w:rPr>
  </w:style>
  <w:style w:type="paragraph" w:styleId="20">
    <w:name w:val="toc 2"/>
    <w:basedOn w:val="a"/>
    <w:next w:val="a"/>
    <w:autoRedefine/>
    <w:uiPriority w:val="39"/>
    <w:semiHidden/>
    <w:unhideWhenUsed/>
    <w:pPr>
      <w:ind w:leftChars="200" w:left="420"/>
    </w:pPr>
  </w:style>
  <w:style w:type="paragraph" w:styleId="30">
    <w:name w:val="toc 3"/>
    <w:basedOn w:val="a"/>
    <w:next w:val="a"/>
    <w:autoRedefine/>
    <w:uiPriority w:val="39"/>
    <w:semiHidden/>
    <w:unhideWhenUsed/>
  </w:style>
  <w:style w:type="paragraph" w:styleId="a6">
    <w:name w:val="footnote text"/>
    <w:basedOn w:val="a"/>
    <w:link w:val="Char1"/>
    <w:pPr>
      <w:snapToGrid w:val="0"/>
      <w:jc w:val="left"/>
    </w:pPr>
    <w:rPr>
      <w:sz w:val="18"/>
      <w:szCs w:val="18"/>
    </w:rPr>
  </w:style>
  <w:style w:type="character" w:customStyle="1" w:styleId="Char">
    <w:name w:val="脚注文本 Char"/>
    <w:link w:val="a6"/>
    <w:locked/>
    <w:rPr>
      <w:kern w:val="2"/>
      <w:sz w:val="18"/>
      <w:szCs w:val="18"/>
    </w:rPr>
  </w:style>
  <w:style w:type="paragraph" w:styleId="a7">
    <w:name w:val="header"/>
    <w:basedOn w:val="a"/>
    <w:link w:val="Char10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7"/>
    <w:uiPriority w:val="99"/>
    <w:locked/>
    <w:rPr>
      <w:kern w:val="2"/>
      <w:sz w:val="18"/>
      <w:szCs w:val="18"/>
    </w:rPr>
  </w:style>
  <w:style w:type="paragraph" w:styleId="a8">
    <w:name w:val="footer"/>
    <w:basedOn w:val="a"/>
    <w:link w:val="Char1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link w:val="a8"/>
    <w:uiPriority w:val="99"/>
    <w:locked/>
    <w:rPr>
      <w:kern w:val="2"/>
      <w:sz w:val="18"/>
      <w:szCs w:val="18"/>
    </w:rPr>
  </w:style>
  <w:style w:type="paragraph" w:styleId="a9">
    <w:name w:val="Title"/>
    <w:basedOn w:val="1"/>
    <w:next w:val="2"/>
    <w:link w:val="Char12"/>
    <w:uiPriority w:val="10"/>
    <w:qFormat/>
    <w:pPr>
      <w:keepNext w:val="0"/>
      <w:keepLines w:val="0"/>
      <w:spacing w:before="240" w:after="60" w:line="240" w:lineRule="auto"/>
      <w:jc w:val="center"/>
    </w:pPr>
    <w:rPr>
      <w:rFonts w:ascii="Cambria" w:hAnsi="Cambria"/>
      <w:kern w:val="0"/>
      <w:sz w:val="32"/>
      <w:szCs w:val="32"/>
    </w:rPr>
  </w:style>
  <w:style w:type="character" w:customStyle="1" w:styleId="Char3">
    <w:name w:val="标题 Char"/>
    <w:link w:val="a9"/>
    <w:uiPriority w:val="10"/>
    <w:locked/>
    <w:rPr>
      <w:rFonts w:ascii="Cambria" w:hAnsi="Cambria" w:cs="Times New Roman" w:hint="default"/>
      <w:b/>
      <w:bCs/>
      <w:kern w:val="2"/>
      <w:sz w:val="32"/>
      <w:szCs w:val="32"/>
    </w:rPr>
  </w:style>
  <w:style w:type="paragraph" w:styleId="aa">
    <w:name w:val="Subtitle"/>
    <w:basedOn w:val="2"/>
    <w:next w:val="3"/>
    <w:link w:val="Char13"/>
    <w:qFormat/>
    <w:pPr>
      <w:spacing w:before="240" w:after="60" w:line="312" w:lineRule="auto"/>
      <w:jc w:val="left"/>
    </w:pPr>
    <w:rPr>
      <w:bCs w:val="0"/>
      <w:kern w:val="24"/>
      <w:sz w:val="24"/>
    </w:rPr>
  </w:style>
  <w:style w:type="character" w:customStyle="1" w:styleId="Char4">
    <w:name w:val="副标题 Char"/>
    <w:link w:val="aa"/>
    <w:locked/>
    <w:rPr>
      <w:rFonts w:ascii="Cambria" w:hAnsi="Cambria" w:cs="Times New Roman" w:hint="default"/>
      <w:b/>
      <w:bCs/>
      <w:kern w:val="24"/>
      <w:sz w:val="32"/>
      <w:szCs w:val="32"/>
    </w:rPr>
  </w:style>
  <w:style w:type="paragraph" w:styleId="ab">
    <w:name w:val="Date"/>
    <w:basedOn w:val="a"/>
    <w:next w:val="a"/>
    <w:link w:val="Char14"/>
    <w:rPr>
      <w:sz w:val="32"/>
      <w:lang/>
    </w:rPr>
  </w:style>
  <w:style w:type="character" w:customStyle="1" w:styleId="Char5">
    <w:name w:val="日期 Char"/>
    <w:link w:val="ab"/>
    <w:locked/>
    <w:rPr>
      <w:kern w:val="2"/>
      <w:sz w:val="21"/>
    </w:rPr>
  </w:style>
  <w:style w:type="paragraph" w:styleId="ac">
    <w:name w:val="Document Map"/>
    <w:basedOn w:val="a"/>
    <w:link w:val="Char15"/>
    <w:pPr>
      <w:shd w:val="clear" w:color="auto" w:fill="000080"/>
    </w:pPr>
  </w:style>
  <w:style w:type="character" w:customStyle="1" w:styleId="Char6">
    <w:name w:val="文档结构图 Char"/>
    <w:link w:val="ac"/>
    <w:locked/>
    <w:rPr>
      <w:rFonts w:ascii="宋体" w:eastAsia="宋体" w:hAnsi="宋体" w:hint="eastAsia"/>
      <w:kern w:val="2"/>
      <w:sz w:val="18"/>
      <w:szCs w:val="18"/>
    </w:rPr>
  </w:style>
  <w:style w:type="paragraph" w:styleId="ad">
    <w:name w:val="Balloon Text"/>
    <w:basedOn w:val="a"/>
    <w:link w:val="Char16"/>
    <w:uiPriority w:val="99"/>
    <w:semiHidden/>
    <w:unhideWhenUsed/>
    <w:rPr>
      <w:sz w:val="18"/>
      <w:szCs w:val="18"/>
    </w:rPr>
  </w:style>
  <w:style w:type="character" w:customStyle="1" w:styleId="Char7">
    <w:name w:val="批注框文本 Char"/>
    <w:link w:val="ad"/>
    <w:uiPriority w:val="99"/>
    <w:semiHidden/>
    <w:locked/>
    <w:rPr>
      <w:kern w:val="2"/>
      <w:sz w:val="18"/>
      <w:szCs w:val="18"/>
    </w:rPr>
  </w:style>
  <w:style w:type="paragraph" w:styleId="TOC">
    <w:name w:val="TOC Heading"/>
    <w:basedOn w:val="1"/>
    <w:next w:val="a"/>
    <w:uiPriority w:val="39"/>
    <w:semiHidden/>
    <w:unhideWhenUsed/>
    <w:qFormat/>
    <w:pPr>
      <w:widowControl/>
      <w:spacing w:before="480" w:after="0" w:line="276" w:lineRule="auto"/>
      <w:jc w:val="left"/>
      <w:outlineLvl w:val="9"/>
    </w:pPr>
    <w:rPr>
      <w:rFonts w:ascii="Cambria" w:hAnsi="Cambria"/>
      <w:color w:val="365F91"/>
      <w:kern w:val="0"/>
      <w:sz w:val="24"/>
      <w:szCs w:val="24"/>
      <w:lang w:val="en-US" w:eastAsia="zh-CN"/>
    </w:rPr>
  </w:style>
  <w:style w:type="paragraph" w:customStyle="1" w:styleId="msonormal0">
    <w:name w:val="msonormal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  <w:style w:type="paragraph" w:customStyle="1" w:styleId="XBRLTitle6">
    <w:name w:val="XBRLTitle6"/>
    <w:basedOn w:val="aa"/>
    <w:next w:val="4"/>
    <w:qFormat/>
    <w:pPr>
      <w:numPr>
        <w:ilvl w:val="5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ae">
    <w:name w:val="次标题"/>
    <w:basedOn w:val="3"/>
    <w:next w:val="a"/>
    <w:pPr>
      <w:spacing w:before="120" w:after="120"/>
      <w:jc w:val="left"/>
    </w:pPr>
    <w:rPr>
      <w:sz w:val="21"/>
    </w:rPr>
  </w:style>
  <w:style w:type="paragraph" w:customStyle="1" w:styleId="XBRL6">
    <w:name w:val="XBRL标题6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2">
    <w:name w:val="XBRL标题2"/>
    <w:basedOn w:val="aa"/>
    <w:next w:val="4"/>
    <w:qFormat/>
    <w:pPr>
      <w:spacing w:beforeLines="50" w:after="0" w:line="240" w:lineRule="auto"/>
    </w:pPr>
    <w:rPr>
      <w:bCs/>
    </w:rPr>
  </w:style>
  <w:style w:type="paragraph" w:customStyle="1" w:styleId="XBRL3">
    <w:name w:val="XBRL标题3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1">
    <w:name w:val="XBRLTitle1"/>
    <w:basedOn w:val="1"/>
    <w:next w:val="2"/>
    <w:qFormat/>
    <w:pPr>
      <w:keepNext w:val="0"/>
      <w:keepLines w:val="0"/>
      <w:numPr>
        <w:numId w:val="2"/>
      </w:numPr>
      <w:spacing w:beforeLines="50" w:after="0" w:line="240" w:lineRule="auto"/>
      <w:jc w:val="center"/>
    </w:pPr>
    <w:rPr>
      <w:rFonts w:hAnsi="Cambria"/>
      <w:sz w:val="24"/>
    </w:rPr>
  </w:style>
  <w:style w:type="paragraph" w:customStyle="1" w:styleId="XBRLTitle2">
    <w:name w:val="XBRLTitle2"/>
    <w:basedOn w:val="aa"/>
    <w:next w:val="4"/>
    <w:qFormat/>
    <w:pPr>
      <w:keepNext w:val="0"/>
      <w:keepLines w:val="0"/>
      <w:numPr>
        <w:ilvl w:val="1"/>
        <w:numId w:val="2"/>
      </w:numPr>
      <w:spacing w:beforeLines="50" w:after="0" w:line="240" w:lineRule="auto"/>
      <w:ind w:left="454"/>
    </w:pPr>
    <w:rPr>
      <w:rFonts w:ascii="宋体"/>
      <w:bCs/>
    </w:rPr>
  </w:style>
  <w:style w:type="paragraph" w:customStyle="1" w:styleId="XBRLTitle5">
    <w:name w:val="XBRLTitle5"/>
    <w:basedOn w:val="aa"/>
    <w:next w:val="4"/>
    <w:qFormat/>
    <w:pPr>
      <w:numPr>
        <w:ilvl w:val="4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Char8">
    <w:name w:val="Char"/>
    <w:basedOn w:val="a"/>
  </w:style>
  <w:style w:type="paragraph" w:customStyle="1" w:styleId="CharCharCharCharCharChar1CharCharChar">
    <w:name w:val="Char Char Char Char Char Char1 Char Char Char"/>
    <w:basedOn w:val="a"/>
    <w:pPr>
      <w:autoSpaceDE w:val="0"/>
      <w:autoSpaceDN w:val="0"/>
      <w:adjustRightInd w:val="0"/>
      <w:jc w:val="left"/>
    </w:pPr>
  </w:style>
  <w:style w:type="paragraph" w:customStyle="1" w:styleId="XBRL1">
    <w:name w:val="XBRL标题1"/>
    <w:basedOn w:val="1"/>
    <w:next w:val="2"/>
    <w:qFormat/>
    <w:pPr>
      <w:spacing w:beforeLines="50" w:after="0" w:line="240" w:lineRule="auto"/>
      <w:jc w:val="center"/>
    </w:pPr>
    <w:rPr>
      <w:rFonts w:ascii="Cambria" w:hAnsi="Cambria"/>
      <w:sz w:val="24"/>
    </w:rPr>
  </w:style>
  <w:style w:type="paragraph" w:customStyle="1" w:styleId="XBRL5">
    <w:name w:val="XBRL标题5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4">
    <w:name w:val="XBRL标题4"/>
    <w:basedOn w:val="aa"/>
    <w:next w:val="4"/>
    <w:qFormat/>
    <w:pPr>
      <w:spacing w:beforeLines="50" w:after="0" w:line="240" w:lineRule="auto"/>
      <w:outlineLvl w:val="9"/>
    </w:pPr>
    <w:rPr>
      <w:bCs/>
    </w:rPr>
  </w:style>
  <w:style w:type="paragraph" w:customStyle="1" w:styleId="XBRLTitle4">
    <w:name w:val="XBRLTitle4"/>
    <w:basedOn w:val="aa"/>
    <w:next w:val="4"/>
    <w:qFormat/>
    <w:pPr>
      <w:numPr>
        <w:ilvl w:val="3"/>
        <w:numId w:val="2"/>
      </w:numPr>
      <w:spacing w:beforeLines="50" w:after="0" w:line="240" w:lineRule="auto"/>
      <w:outlineLvl w:val="9"/>
    </w:pPr>
    <w:rPr>
      <w:bCs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 Unicode MS" w:hAnsi="Arial Unicode MS"/>
      <w:kern w:val="0"/>
      <w:sz w:val="24"/>
    </w:rPr>
  </w:style>
  <w:style w:type="paragraph" w:customStyle="1" w:styleId="XBRLTitle3">
    <w:name w:val="XBRLTitle3"/>
    <w:basedOn w:val="aa"/>
    <w:next w:val="4"/>
    <w:autoRedefine/>
    <w:qFormat/>
    <w:pPr>
      <w:keepNext w:val="0"/>
      <w:keepLines w:val="0"/>
      <w:numPr>
        <w:ilvl w:val="2"/>
        <w:numId w:val="2"/>
      </w:numPr>
      <w:spacing w:beforeLines="50" w:after="0" w:line="360" w:lineRule="auto"/>
      <w:ind w:left="0" w:firstLine="0"/>
      <w:outlineLvl w:val="9"/>
    </w:pPr>
    <w:rPr>
      <w:rFonts w:ascii="宋体"/>
      <w:bCs/>
    </w:rPr>
  </w:style>
  <w:style w:type="paragraph" w:customStyle="1" w:styleId="Default">
    <w:name w:val="Default"/>
    <w:basedOn w:val="a"/>
    <w:pPr>
      <w:autoSpaceDE w:val="0"/>
      <w:autoSpaceDN w:val="0"/>
      <w:adjustRightInd w:val="0"/>
      <w:jc w:val="left"/>
    </w:pPr>
    <w:rPr>
      <w:rFonts w:ascii="仿宋" w:eastAsia="仿宋" w:hAnsi="仿宋"/>
      <w:color w:val="000000"/>
      <w:kern w:val="0"/>
      <w:sz w:val="24"/>
      <w:szCs w:val="24"/>
    </w:rPr>
  </w:style>
  <w:style w:type="character" w:styleId="af">
    <w:name w:val="footnote reference"/>
    <w:rPr>
      <w:vertAlign w:val="superscript"/>
    </w:rPr>
  </w:style>
  <w:style w:type="character" w:customStyle="1" w:styleId="11">
    <w:name w:val="标题 1 字符"/>
    <w:link w:val="1"/>
    <w:uiPriority w:val="9"/>
    <w:locked/>
    <w:rPr>
      <w:b/>
      <w:bCs/>
      <w:kern w:val="44"/>
      <w:sz w:val="44"/>
      <w:szCs w:val="44"/>
    </w:rPr>
  </w:style>
  <w:style w:type="character" w:customStyle="1" w:styleId="21">
    <w:name w:val="标题 2 字符"/>
    <w:link w:val="2"/>
    <w:uiPriority w:val="9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31">
    <w:name w:val="标题 3 字符"/>
    <w:link w:val="3"/>
    <w:uiPriority w:val="9"/>
    <w:locked/>
    <w:rPr>
      <w:b/>
      <w:bCs/>
      <w:kern w:val="2"/>
      <w:sz w:val="32"/>
      <w:szCs w:val="32"/>
    </w:rPr>
  </w:style>
  <w:style w:type="character" w:customStyle="1" w:styleId="40">
    <w:name w:val="标题 4 字符"/>
    <w:link w:val="4"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af0">
    <w:name w:val="脚注文本 字符"/>
    <w:link w:val="a6"/>
    <w:locked/>
    <w:rPr>
      <w:kern w:val="2"/>
      <w:sz w:val="18"/>
      <w:szCs w:val="18"/>
    </w:rPr>
  </w:style>
  <w:style w:type="character" w:customStyle="1" w:styleId="af1">
    <w:name w:val="页眉 字符"/>
    <w:link w:val="a7"/>
    <w:locked/>
    <w:rPr>
      <w:kern w:val="2"/>
      <w:sz w:val="18"/>
      <w:szCs w:val="18"/>
    </w:rPr>
  </w:style>
  <w:style w:type="character" w:customStyle="1" w:styleId="af2">
    <w:name w:val="页脚 字符"/>
    <w:link w:val="a8"/>
    <w:uiPriority w:val="99"/>
    <w:locked/>
    <w:rPr>
      <w:kern w:val="2"/>
      <w:sz w:val="18"/>
      <w:szCs w:val="18"/>
    </w:rPr>
  </w:style>
  <w:style w:type="character" w:customStyle="1" w:styleId="af3">
    <w:name w:val="标题 字符"/>
    <w:link w:val="a9"/>
    <w:uiPriority w:val="10"/>
    <w:locked/>
    <w:rPr>
      <w:rFonts w:ascii="Cambria" w:eastAsia="宋体" w:hAnsi="Cambria" w:cs="Times New Roman" w:hint="default"/>
      <w:b/>
      <w:bCs/>
      <w:kern w:val="2"/>
      <w:sz w:val="32"/>
      <w:szCs w:val="32"/>
    </w:rPr>
  </w:style>
  <w:style w:type="character" w:customStyle="1" w:styleId="af4">
    <w:name w:val="副标题 字符"/>
    <w:link w:val="aa"/>
    <w:locked/>
    <w:rPr>
      <w:rFonts w:ascii="Calibri" w:eastAsia="宋体" w:hAnsi="Calibri" w:cs="Times New Roman" w:hint="default"/>
      <w:b/>
      <w:bCs/>
      <w:kern w:val="24"/>
      <w:sz w:val="32"/>
      <w:szCs w:val="32"/>
    </w:rPr>
  </w:style>
  <w:style w:type="character" w:customStyle="1" w:styleId="af5">
    <w:name w:val="日期 字符"/>
    <w:link w:val="ab"/>
    <w:locked/>
    <w:rPr>
      <w:kern w:val="2"/>
      <w:sz w:val="21"/>
    </w:rPr>
  </w:style>
  <w:style w:type="character" w:customStyle="1" w:styleId="af6">
    <w:name w:val="文档结构图 字符"/>
    <w:link w:val="ac"/>
    <w:locked/>
    <w:rPr>
      <w:rFonts w:ascii="Microsoft YaHei UI" w:eastAsia="Microsoft YaHei UI" w:hAnsi="Microsoft YaHei UI" w:hint="eastAsia"/>
      <w:kern w:val="2"/>
      <w:sz w:val="18"/>
      <w:szCs w:val="18"/>
    </w:rPr>
  </w:style>
  <w:style w:type="character" w:customStyle="1" w:styleId="af7">
    <w:name w:val="批注框文本 字符"/>
    <w:link w:val="ad"/>
    <w:uiPriority w:val="99"/>
    <w:semiHidden/>
    <w:locked/>
    <w:rPr>
      <w:kern w:val="2"/>
      <w:sz w:val="18"/>
      <w:szCs w:val="18"/>
    </w:rPr>
  </w:style>
  <w:style w:type="character" w:customStyle="1" w:styleId="1Char1">
    <w:name w:val="标题 1 Char1"/>
    <w:link w:val="1"/>
    <w:uiPriority w:val="9"/>
    <w:locked/>
    <w:rPr>
      <w:b/>
      <w:bCs/>
      <w:kern w:val="44"/>
      <w:sz w:val="44"/>
      <w:szCs w:val="44"/>
    </w:rPr>
  </w:style>
  <w:style w:type="character" w:customStyle="1" w:styleId="2Char1">
    <w:name w:val="标题 2 Char1"/>
    <w:link w:val="2"/>
    <w:uiPriority w:val="9"/>
    <w:locked/>
    <w:rPr>
      <w:rFonts w:ascii="Cambria" w:eastAsia="宋体" w:hAnsi="Cambria" w:cs="宋体" w:hint="default"/>
      <w:b/>
      <w:bCs/>
      <w:sz w:val="32"/>
      <w:szCs w:val="32"/>
    </w:rPr>
  </w:style>
  <w:style w:type="character" w:customStyle="1" w:styleId="3Char1">
    <w:name w:val="标题 3 Char1"/>
    <w:link w:val="3"/>
    <w:uiPriority w:val="9"/>
    <w:locked/>
    <w:rPr>
      <w:b/>
      <w:bCs/>
      <w:sz w:val="32"/>
      <w:szCs w:val="32"/>
    </w:rPr>
  </w:style>
  <w:style w:type="character" w:customStyle="1" w:styleId="4Char1">
    <w:name w:val="标题 4 Char1"/>
    <w:link w:val="4"/>
    <w:semiHidden/>
    <w:locked/>
    <w:rPr>
      <w:rFonts w:ascii="Cambria" w:eastAsia="宋体" w:hAnsi="Cambria" w:cs="宋体" w:hint="default"/>
      <w:b/>
      <w:bCs/>
      <w:sz w:val="24"/>
      <w:szCs w:val="24"/>
    </w:rPr>
  </w:style>
  <w:style w:type="character" w:customStyle="1" w:styleId="Char1">
    <w:name w:val="脚注文本 Char1"/>
    <w:link w:val="a6"/>
    <w:locked/>
    <w:rPr>
      <w:kern w:val="2"/>
      <w:sz w:val="18"/>
      <w:szCs w:val="18"/>
    </w:rPr>
  </w:style>
  <w:style w:type="character" w:customStyle="1" w:styleId="Char10">
    <w:name w:val="页眉 Char1"/>
    <w:link w:val="a7"/>
    <w:locked/>
    <w:rPr>
      <w:kern w:val="2"/>
      <w:sz w:val="18"/>
      <w:szCs w:val="18"/>
    </w:rPr>
  </w:style>
  <w:style w:type="character" w:customStyle="1" w:styleId="Char11">
    <w:name w:val="页脚 Char1"/>
    <w:link w:val="a8"/>
    <w:uiPriority w:val="99"/>
    <w:locked/>
    <w:rPr>
      <w:kern w:val="2"/>
      <w:sz w:val="18"/>
      <w:szCs w:val="18"/>
    </w:rPr>
  </w:style>
  <w:style w:type="character" w:customStyle="1" w:styleId="Char12">
    <w:name w:val="标题 Char1"/>
    <w:link w:val="a9"/>
    <w:uiPriority w:val="10"/>
    <w:locked/>
    <w:rPr>
      <w:rFonts w:ascii="Cambria" w:hAnsi="Cambria" w:cs="宋体" w:hint="default"/>
      <w:b/>
      <w:bCs/>
      <w:sz w:val="32"/>
      <w:szCs w:val="32"/>
    </w:rPr>
  </w:style>
  <w:style w:type="character" w:customStyle="1" w:styleId="Char13">
    <w:name w:val="副标题 Char1"/>
    <w:link w:val="aa"/>
    <w:locked/>
    <w:rPr>
      <w:rFonts w:ascii="Cambria" w:eastAsia="宋体" w:hAnsi="Cambria" w:cs="宋体" w:hint="default"/>
      <w:b/>
      <w:bCs w:val="0"/>
      <w:kern w:val="24"/>
      <w:sz w:val="24"/>
      <w:szCs w:val="32"/>
    </w:rPr>
  </w:style>
  <w:style w:type="character" w:customStyle="1" w:styleId="Char14">
    <w:name w:val="日期 Char1"/>
    <w:link w:val="ab"/>
    <w:locked/>
    <w:rPr>
      <w:rFonts w:ascii="宋体" w:eastAsia="宋体" w:hAnsi="宋体" w:hint="eastAsia"/>
      <w:kern w:val="2"/>
      <w:sz w:val="32"/>
    </w:rPr>
  </w:style>
  <w:style w:type="character" w:customStyle="1" w:styleId="Char15">
    <w:name w:val="文档结构图 Char1"/>
    <w:link w:val="ac"/>
    <w:locked/>
    <w:rPr>
      <w:rFonts w:ascii="宋体" w:eastAsia="宋体" w:hAnsi="宋体" w:hint="eastAsia"/>
      <w:kern w:val="2"/>
      <w:sz w:val="18"/>
      <w:szCs w:val="18"/>
    </w:rPr>
  </w:style>
  <w:style w:type="character" w:customStyle="1" w:styleId="Char16">
    <w:name w:val="批注框文本 Char1"/>
    <w:link w:val="ad"/>
    <w:uiPriority w:val="99"/>
    <w:semiHidden/>
    <w:locked/>
    <w:rPr>
      <w:kern w:val="2"/>
      <w:sz w:val="18"/>
      <w:szCs w:val="18"/>
    </w:rPr>
  </w:style>
  <w:style w:type="character" w:customStyle="1" w:styleId="5Char1">
    <w:name w:val="标题 5 Char1"/>
    <w:link w:val="5"/>
    <w:uiPriority w:val="9"/>
    <w:semiHidden/>
    <w:locked/>
    <w:rPr>
      <w:b/>
      <w:bCs/>
      <w:kern w:val="2"/>
      <w:sz w:val="24"/>
      <w:szCs w:val="24"/>
    </w:rPr>
  </w:style>
  <w:style w:type="character" w:customStyle="1" w:styleId="6Char1">
    <w:name w:val="标题 6 Char1"/>
    <w:link w:val="6"/>
    <w:uiPriority w:val="9"/>
    <w:semiHidden/>
    <w:locked/>
    <w:rPr>
      <w:rFonts w:ascii="Cambria" w:eastAsia="宋体" w:hAnsi="Cambria" w:cs="Times New Roman" w:hint="default"/>
      <w:b/>
      <w:bCs/>
      <w:kern w:val="2"/>
      <w:sz w:val="24"/>
      <w:szCs w:val="24"/>
    </w:rPr>
  </w:style>
  <w:style w:type="character" w:customStyle="1" w:styleId="12">
    <w:name w:val="页眉 字符1"/>
    <w:locked/>
    <w:rPr>
      <w:kern w:val="2"/>
      <w:sz w:val="18"/>
      <w:szCs w:val="18"/>
    </w:rPr>
  </w:style>
  <w:style w:type="table" w:styleId="af8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emovednode">
    <w:name w:val="removednode"/>
    <w:basedOn w:val="a"/>
    <w:pPr>
      <w:widowControl/>
      <w:spacing w:before="100" w:beforeAutospacing="1" w:after="100" w:afterAutospacing="1"/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nicode"/>
  <w:optimizeForBrowser/>
  <w:relyOnVML/>
  <w:allowPNG/>
  <w:doNotRelyOnCSS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6B652D-6BCF-4ADE-AC71-25213F1381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1250</Characters>
  <Application>Microsoft Office Word</Application>
  <DocSecurity>4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yss</dc:creator>
  <cp:keywords/>
  <dc:description/>
  <cp:lastModifiedBy>ZHONGM</cp:lastModifiedBy>
  <cp:revision>2</cp:revision>
  <dcterms:created xsi:type="dcterms:W3CDTF">2023-12-06T16:02:00Z</dcterms:created>
  <dcterms:modified xsi:type="dcterms:W3CDTF">2023-12-06T16:02:00Z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2052-9.1.0.5113</vt:lpwstr>
  </property>
</Properties>
</file>