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89" w:rsidRDefault="00FD2589"/>
    <w:p w:rsidR="00E85FED" w:rsidRDefault="00E85FED" w:rsidP="00E85FED">
      <w:pPr>
        <w:jc w:val="center"/>
        <w:rPr>
          <w:rFonts w:ascii="宋体" w:eastAsia="宋体" w:hAnsi="宋体"/>
          <w:b/>
          <w:sz w:val="28"/>
        </w:rPr>
      </w:pPr>
      <w:r w:rsidRPr="00E85FED">
        <w:rPr>
          <w:rFonts w:ascii="宋体" w:eastAsia="宋体" w:hAnsi="宋体" w:hint="eastAsia"/>
          <w:b/>
          <w:sz w:val="28"/>
        </w:rPr>
        <w:t>博时汇享纯债债券型证券投资基金分红公告</w:t>
      </w:r>
    </w:p>
    <w:p w:rsidR="00E85FED" w:rsidRDefault="00E85FED" w:rsidP="00E85FED">
      <w:pPr>
        <w:jc w:val="center"/>
        <w:rPr>
          <w:rFonts w:ascii="宋体" w:eastAsia="宋体" w:hAnsi="宋体"/>
          <w:b/>
          <w:sz w:val="24"/>
        </w:rPr>
      </w:pPr>
      <w:r w:rsidRPr="00E85FED">
        <w:rPr>
          <w:rFonts w:ascii="宋体" w:eastAsia="宋体" w:hAnsi="宋体" w:hint="eastAsia"/>
          <w:b/>
          <w:sz w:val="24"/>
        </w:rPr>
        <w:t>公告送出日期：</w:t>
      </w:r>
      <w:r w:rsidRPr="00E85FED">
        <w:rPr>
          <w:rFonts w:ascii="宋体" w:eastAsia="宋体" w:hAnsi="宋体"/>
          <w:b/>
          <w:sz w:val="24"/>
        </w:rPr>
        <w:t>2023年12月7日</w:t>
      </w:r>
    </w:p>
    <w:p w:rsidR="00E85FED" w:rsidRDefault="00E85FED" w:rsidP="00E85FED">
      <w:pPr>
        <w:jc w:val="center"/>
        <w:rPr>
          <w:rFonts w:ascii="宋体" w:eastAsia="宋体" w:hAnsi="宋体"/>
          <w:b/>
          <w:sz w:val="24"/>
        </w:rPr>
      </w:pPr>
    </w:p>
    <w:p w:rsidR="00E85FED" w:rsidRDefault="00E85FED" w:rsidP="00E85FED">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2841"/>
        <w:gridCol w:w="2841"/>
      </w:tblGrid>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基金名称</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hint="eastAsia"/>
              </w:rPr>
              <w:t>博时汇享纯债债券型证券投资基金</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基金简称</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hint="eastAsia"/>
              </w:rPr>
              <w:t>博时汇享纯债债券</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基金主代码</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rPr>
              <w:t>004366</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基金合同生效日</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rPr>
              <w:t>2017年2月28日</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基金管理人名称</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hint="eastAsia"/>
              </w:rPr>
              <w:t>博时基金管理有限公司</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基金托管人名称</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hint="eastAsia"/>
              </w:rPr>
              <w:t>江苏银行股份有限公司</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公告依据</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hint="eastAsia"/>
              </w:rPr>
              <w:t>《中华人民共和国证券投资基金法》、《公开募集证券投资基金运作管理办法》、《博时汇享纯债债券型证券投资基金基金合同》、《博时汇享纯债债券型证券投资基金招募说明书》等</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收益分配基准日</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rPr>
              <w:t>2023年12月4日</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下属基金份额的基金简称</w:t>
            </w:r>
          </w:p>
        </w:tc>
        <w:tc>
          <w:tcPr>
            <w:tcW w:w="2841" w:type="dxa"/>
            <w:vAlign w:val="center"/>
          </w:tcPr>
          <w:p w:rsidR="00E85FED" w:rsidRPr="00E85FED" w:rsidRDefault="00E85FED" w:rsidP="00E85FED">
            <w:pPr>
              <w:rPr>
                <w:rFonts w:ascii="宋体" w:eastAsia="宋体" w:hAnsi="宋体"/>
              </w:rPr>
            </w:pPr>
            <w:r>
              <w:rPr>
                <w:rFonts w:ascii="宋体" w:eastAsia="宋体" w:hAnsi="宋体" w:hint="eastAsia"/>
              </w:rPr>
              <w:t>博时汇享纯债债券</w:t>
            </w:r>
            <w:r>
              <w:rPr>
                <w:rFonts w:ascii="宋体" w:eastAsia="宋体" w:hAnsi="宋体"/>
              </w:rPr>
              <w:t>A</w:t>
            </w:r>
          </w:p>
        </w:tc>
        <w:tc>
          <w:tcPr>
            <w:tcW w:w="2841" w:type="dxa"/>
            <w:vAlign w:val="center"/>
          </w:tcPr>
          <w:p w:rsidR="00E85FED" w:rsidRPr="00E85FED" w:rsidRDefault="00E85FED" w:rsidP="00E85FED">
            <w:pPr>
              <w:rPr>
                <w:rFonts w:ascii="宋体" w:eastAsia="宋体" w:hAnsi="宋体"/>
              </w:rPr>
            </w:pPr>
            <w:r>
              <w:rPr>
                <w:rFonts w:ascii="宋体" w:eastAsia="宋体" w:hAnsi="宋体" w:hint="eastAsia"/>
              </w:rPr>
              <w:t>博时汇享纯债债券</w:t>
            </w:r>
            <w:r>
              <w:rPr>
                <w:rFonts w:ascii="宋体" w:eastAsia="宋体" w:hAnsi="宋体"/>
              </w:rPr>
              <w:t>C</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下属基金份额的交易代码</w:t>
            </w:r>
          </w:p>
        </w:tc>
        <w:tc>
          <w:tcPr>
            <w:tcW w:w="2841" w:type="dxa"/>
            <w:vAlign w:val="center"/>
          </w:tcPr>
          <w:p w:rsidR="00E85FED" w:rsidRPr="00E85FED" w:rsidRDefault="00E85FED" w:rsidP="00E85FED">
            <w:pPr>
              <w:rPr>
                <w:rFonts w:ascii="宋体" w:eastAsia="宋体" w:hAnsi="宋体"/>
              </w:rPr>
            </w:pPr>
            <w:r>
              <w:rPr>
                <w:rFonts w:ascii="宋体" w:eastAsia="宋体" w:hAnsi="宋体"/>
              </w:rPr>
              <w:t>004366</w:t>
            </w:r>
          </w:p>
        </w:tc>
        <w:tc>
          <w:tcPr>
            <w:tcW w:w="2841" w:type="dxa"/>
            <w:vAlign w:val="center"/>
          </w:tcPr>
          <w:p w:rsidR="00E85FED" w:rsidRPr="00E85FED" w:rsidRDefault="00E85FED" w:rsidP="00E85FED">
            <w:pPr>
              <w:rPr>
                <w:rFonts w:ascii="宋体" w:eastAsia="宋体" w:hAnsi="宋体"/>
              </w:rPr>
            </w:pPr>
            <w:r>
              <w:rPr>
                <w:rFonts w:ascii="宋体" w:eastAsia="宋体" w:hAnsi="宋体"/>
              </w:rPr>
              <w:t>004367</w:t>
            </w:r>
          </w:p>
        </w:tc>
      </w:tr>
      <w:tr w:rsidR="00E85FED" w:rsidTr="00E85FED">
        <w:tc>
          <w:tcPr>
            <w:tcW w:w="1420" w:type="dxa"/>
            <w:vMerge w:val="restart"/>
            <w:vAlign w:val="center"/>
          </w:tcPr>
          <w:p w:rsidR="00E85FED" w:rsidRPr="00E85FED" w:rsidRDefault="00E85FED" w:rsidP="00E85FED">
            <w:pPr>
              <w:rPr>
                <w:rFonts w:ascii="宋体" w:eastAsia="宋体" w:hAnsi="宋体"/>
              </w:rPr>
            </w:pPr>
            <w:r>
              <w:rPr>
                <w:rFonts w:ascii="宋体" w:eastAsia="宋体" w:hAnsi="宋体" w:hint="eastAsia"/>
              </w:rPr>
              <w:t>截止基准日下属基金份额的相关指标</w:t>
            </w:r>
          </w:p>
        </w:tc>
        <w:tc>
          <w:tcPr>
            <w:tcW w:w="1420" w:type="dxa"/>
            <w:vAlign w:val="center"/>
          </w:tcPr>
          <w:p w:rsidR="00E85FED" w:rsidRPr="00E85FED" w:rsidRDefault="00E85FED" w:rsidP="00E85FED">
            <w:pPr>
              <w:rPr>
                <w:rFonts w:ascii="宋体" w:eastAsia="宋体" w:hAnsi="宋体"/>
              </w:rPr>
            </w:pPr>
            <w:r>
              <w:rPr>
                <w:rFonts w:ascii="宋体" w:eastAsia="宋体" w:hAnsi="宋体" w:hint="eastAsia"/>
              </w:rPr>
              <w:t>基准日下属基金份额份额净值（单位：元）</w:t>
            </w:r>
          </w:p>
        </w:tc>
        <w:tc>
          <w:tcPr>
            <w:tcW w:w="2841" w:type="dxa"/>
            <w:vAlign w:val="center"/>
          </w:tcPr>
          <w:p w:rsidR="00E85FED" w:rsidRPr="00E85FED" w:rsidRDefault="00E85FED" w:rsidP="00E85FED">
            <w:pPr>
              <w:rPr>
                <w:rFonts w:ascii="宋体" w:eastAsia="宋体" w:hAnsi="宋体"/>
              </w:rPr>
            </w:pPr>
            <w:r>
              <w:rPr>
                <w:rFonts w:ascii="宋体" w:eastAsia="宋体" w:hAnsi="宋体"/>
              </w:rPr>
              <w:t>1.1274</w:t>
            </w:r>
          </w:p>
        </w:tc>
        <w:tc>
          <w:tcPr>
            <w:tcW w:w="2841" w:type="dxa"/>
            <w:vAlign w:val="center"/>
          </w:tcPr>
          <w:p w:rsidR="00E85FED" w:rsidRPr="00E85FED" w:rsidRDefault="00E85FED" w:rsidP="00E85FED">
            <w:pPr>
              <w:rPr>
                <w:rFonts w:ascii="宋体" w:eastAsia="宋体" w:hAnsi="宋体"/>
              </w:rPr>
            </w:pPr>
            <w:r>
              <w:rPr>
                <w:rFonts w:ascii="宋体" w:eastAsia="宋体" w:hAnsi="宋体"/>
              </w:rPr>
              <w:t>1.1113</w:t>
            </w:r>
          </w:p>
        </w:tc>
      </w:tr>
      <w:tr w:rsidR="00E85FED" w:rsidTr="00E85FED">
        <w:tc>
          <w:tcPr>
            <w:tcW w:w="1420" w:type="dxa"/>
            <w:vMerge/>
            <w:vAlign w:val="center"/>
          </w:tcPr>
          <w:p w:rsidR="00E85FED" w:rsidRDefault="00E85FED" w:rsidP="00E85FED"/>
        </w:tc>
        <w:tc>
          <w:tcPr>
            <w:tcW w:w="1420" w:type="dxa"/>
            <w:vAlign w:val="center"/>
          </w:tcPr>
          <w:p w:rsidR="00E85FED" w:rsidRPr="00E85FED" w:rsidRDefault="00E85FED" w:rsidP="00E85FED">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E85FED" w:rsidRPr="00E85FED" w:rsidRDefault="00E85FED" w:rsidP="00E85FED">
            <w:pPr>
              <w:rPr>
                <w:rFonts w:ascii="宋体" w:eastAsia="宋体" w:hAnsi="宋体"/>
              </w:rPr>
            </w:pPr>
            <w:r>
              <w:rPr>
                <w:rFonts w:ascii="宋体" w:eastAsia="宋体" w:hAnsi="宋体"/>
              </w:rPr>
              <w:t>122,209,926.61</w:t>
            </w:r>
          </w:p>
        </w:tc>
        <w:tc>
          <w:tcPr>
            <w:tcW w:w="2841" w:type="dxa"/>
            <w:vAlign w:val="center"/>
          </w:tcPr>
          <w:p w:rsidR="00E85FED" w:rsidRPr="00E85FED" w:rsidRDefault="00E85FED" w:rsidP="00E85FED">
            <w:pPr>
              <w:rPr>
                <w:rFonts w:ascii="宋体" w:eastAsia="宋体" w:hAnsi="宋体"/>
              </w:rPr>
            </w:pPr>
            <w:r>
              <w:rPr>
                <w:rFonts w:ascii="宋体" w:eastAsia="宋体" w:hAnsi="宋体"/>
              </w:rPr>
              <w:t>789,650.58</w:t>
            </w:r>
          </w:p>
        </w:tc>
      </w:tr>
      <w:tr w:rsidR="00E85FED" w:rsidTr="00E85FED">
        <w:tc>
          <w:tcPr>
            <w:tcW w:w="1420" w:type="dxa"/>
            <w:vMerge/>
            <w:vAlign w:val="center"/>
          </w:tcPr>
          <w:p w:rsidR="00E85FED" w:rsidRDefault="00E85FED" w:rsidP="00E85FED"/>
        </w:tc>
        <w:tc>
          <w:tcPr>
            <w:tcW w:w="1420" w:type="dxa"/>
            <w:vAlign w:val="center"/>
          </w:tcPr>
          <w:p w:rsidR="00E85FED" w:rsidRPr="00E85FED" w:rsidRDefault="00E85FED" w:rsidP="00E85FED">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E85FED" w:rsidRPr="00E85FED" w:rsidRDefault="00E85FED" w:rsidP="00E85FED">
            <w:pPr>
              <w:rPr>
                <w:rFonts w:ascii="宋体" w:eastAsia="宋体" w:hAnsi="宋体"/>
              </w:rPr>
            </w:pPr>
            <w:r>
              <w:rPr>
                <w:rFonts w:ascii="宋体" w:eastAsia="宋体" w:hAnsi="宋体"/>
              </w:rPr>
              <w:t>-</w:t>
            </w:r>
          </w:p>
        </w:tc>
        <w:tc>
          <w:tcPr>
            <w:tcW w:w="2841" w:type="dxa"/>
            <w:vAlign w:val="center"/>
          </w:tcPr>
          <w:p w:rsidR="00E85FED" w:rsidRPr="00E85FED" w:rsidRDefault="00E85FED" w:rsidP="00E85FED">
            <w:pPr>
              <w:rPr>
                <w:rFonts w:ascii="宋体" w:eastAsia="宋体" w:hAnsi="宋体"/>
              </w:rPr>
            </w:pPr>
            <w:r>
              <w:rPr>
                <w:rFonts w:ascii="宋体" w:eastAsia="宋体" w:hAnsi="宋体"/>
              </w:rPr>
              <w:t>-</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E85FED" w:rsidRPr="00E85FED" w:rsidRDefault="00E85FED" w:rsidP="00E85FED">
            <w:pPr>
              <w:rPr>
                <w:rFonts w:ascii="宋体" w:eastAsia="宋体" w:hAnsi="宋体"/>
              </w:rPr>
            </w:pPr>
            <w:r>
              <w:rPr>
                <w:rFonts w:ascii="宋体" w:eastAsia="宋体" w:hAnsi="宋体"/>
              </w:rPr>
              <w:t>0.5000</w:t>
            </w:r>
          </w:p>
        </w:tc>
        <w:tc>
          <w:tcPr>
            <w:tcW w:w="2841" w:type="dxa"/>
            <w:vAlign w:val="center"/>
          </w:tcPr>
          <w:p w:rsidR="00E85FED" w:rsidRPr="00E85FED" w:rsidRDefault="00E85FED" w:rsidP="00E85FED">
            <w:pPr>
              <w:rPr>
                <w:rFonts w:ascii="宋体" w:eastAsia="宋体" w:hAnsi="宋体"/>
              </w:rPr>
            </w:pPr>
            <w:r>
              <w:rPr>
                <w:rFonts w:ascii="宋体" w:eastAsia="宋体" w:hAnsi="宋体"/>
              </w:rPr>
              <w:t>0.4370</w:t>
            </w:r>
          </w:p>
        </w:tc>
      </w:tr>
      <w:tr w:rsidR="00E85FED" w:rsidTr="00E85FED">
        <w:tc>
          <w:tcPr>
            <w:tcW w:w="2840" w:type="dxa"/>
            <w:gridSpan w:val="2"/>
            <w:vAlign w:val="center"/>
          </w:tcPr>
          <w:p w:rsidR="00E85FED" w:rsidRPr="00E85FED" w:rsidRDefault="00E85FED" w:rsidP="00E85FED">
            <w:pPr>
              <w:rPr>
                <w:rFonts w:ascii="宋体" w:eastAsia="宋体" w:hAnsi="宋体"/>
              </w:rPr>
            </w:pPr>
            <w:r>
              <w:rPr>
                <w:rFonts w:ascii="宋体" w:eastAsia="宋体" w:hAnsi="宋体" w:hint="eastAsia"/>
              </w:rPr>
              <w:t>有关年度分红次数的说明</w:t>
            </w:r>
          </w:p>
        </w:tc>
        <w:tc>
          <w:tcPr>
            <w:tcW w:w="5682" w:type="dxa"/>
            <w:gridSpan w:val="2"/>
            <w:vAlign w:val="center"/>
          </w:tcPr>
          <w:p w:rsidR="00E85FED" w:rsidRPr="00E85FED" w:rsidRDefault="00E85FED" w:rsidP="00E85FED">
            <w:pPr>
              <w:rPr>
                <w:rFonts w:ascii="宋体" w:eastAsia="宋体" w:hAnsi="宋体"/>
              </w:rPr>
            </w:pPr>
            <w:r>
              <w:rPr>
                <w:rFonts w:ascii="宋体" w:eastAsia="宋体" w:hAnsi="宋体" w:hint="eastAsia"/>
              </w:rPr>
              <w:t>本次分红为</w:t>
            </w:r>
            <w:r>
              <w:rPr>
                <w:rFonts w:ascii="宋体" w:eastAsia="宋体" w:hAnsi="宋体"/>
              </w:rPr>
              <w:t>2023年度的第1次分红</w:t>
            </w:r>
          </w:p>
        </w:tc>
      </w:tr>
    </w:tbl>
    <w:p w:rsidR="00E85FED" w:rsidRDefault="00E85FED" w:rsidP="00E85FED"/>
    <w:p w:rsidR="00E85FED" w:rsidRDefault="00E85FED" w:rsidP="00E85FED">
      <w:pPr>
        <w:pStyle w:val="a4"/>
        <w:spacing w:before="0" w:beforeAutospacing="0" w:after="0" w:afterAutospacing="0" w:line="360" w:lineRule="auto"/>
        <w:ind w:firstLine="420"/>
        <w:divId w:val="787164863"/>
        <w:rPr>
          <w:sz w:val="21"/>
          <w:szCs w:val="21"/>
        </w:rPr>
      </w:pPr>
      <w:r w:rsidRPr="00E85FED">
        <w:rPr>
          <w:rFonts w:hint="eastAsia"/>
          <w:sz w:val="21"/>
        </w:rPr>
        <w:t>注：</w:t>
      </w:r>
      <w:r>
        <w:rPr>
          <w:rFonts w:hint="eastAsia"/>
          <w:sz w:val="21"/>
          <w:szCs w:val="21"/>
        </w:rPr>
        <w:t> 本基金A类基金份额每10份基金份额发放红利0.5000元人民币，本基金C类基金份额每10份基金份额发放红利0.4370元人民币。 </w:t>
      </w:r>
    </w:p>
    <w:p w:rsidR="00E85FED" w:rsidRDefault="00E85FED" w:rsidP="00E85FED">
      <w:pPr>
        <w:pStyle w:val="3"/>
        <w:divId w:val="787164863"/>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权益登记日</w:t>
            </w:r>
          </w:p>
        </w:tc>
        <w:tc>
          <w:tcPr>
            <w:tcW w:w="5682" w:type="dxa"/>
            <w:vAlign w:val="center"/>
          </w:tcPr>
          <w:p w:rsidR="00E85FED" w:rsidRPr="00E85FED" w:rsidRDefault="00E85FED" w:rsidP="00E85FED">
            <w:pPr>
              <w:rPr>
                <w:rFonts w:ascii="宋体" w:eastAsia="宋体" w:hAnsi="宋体"/>
              </w:rPr>
            </w:pPr>
            <w:r>
              <w:rPr>
                <w:rFonts w:ascii="宋体" w:eastAsia="宋体" w:hAnsi="宋体"/>
              </w:rPr>
              <w:t>2023年12月11日</w:t>
            </w:r>
          </w:p>
        </w:tc>
      </w:tr>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除息日</w:t>
            </w:r>
          </w:p>
        </w:tc>
        <w:tc>
          <w:tcPr>
            <w:tcW w:w="5682" w:type="dxa"/>
            <w:vAlign w:val="center"/>
          </w:tcPr>
          <w:p w:rsidR="00E85FED" w:rsidRPr="00E85FED" w:rsidRDefault="00E85FED" w:rsidP="00E85FED">
            <w:pPr>
              <w:rPr>
                <w:rFonts w:ascii="宋体" w:eastAsia="宋体" w:hAnsi="宋体"/>
              </w:rPr>
            </w:pPr>
            <w:r>
              <w:rPr>
                <w:rFonts w:ascii="宋体" w:eastAsia="宋体" w:hAnsi="宋体"/>
              </w:rPr>
              <w:t>2023年12月11日</w:t>
            </w:r>
          </w:p>
        </w:tc>
      </w:tr>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现金红利发放日</w:t>
            </w:r>
          </w:p>
        </w:tc>
        <w:tc>
          <w:tcPr>
            <w:tcW w:w="5682" w:type="dxa"/>
            <w:vAlign w:val="center"/>
          </w:tcPr>
          <w:p w:rsidR="00E85FED" w:rsidRPr="00E85FED" w:rsidRDefault="00E85FED" w:rsidP="00E85FED">
            <w:pPr>
              <w:rPr>
                <w:rFonts w:ascii="宋体" w:eastAsia="宋体" w:hAnsi="宋体"/>
              </w:rPr>
            </w:pPr>
            <w:r>
              <w:rPr>
                <w:rFonts w:ascii="宋体" w:eastAsia="宋体" w:hAnsi="宋体"/>
              </w:rPr>
              <w:t>2023年12月13日</w:t>
            </w:r>
          </w:p>
        </w:tc>
      </w:tr>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分红对象</w:t>
            </w:r>
          </w:p>
        </w:tc>
        <w:tc>
          <w:tcPr>
            <w:tcW w:w="5682" w:type="dxa"/>
            <w:vAlign w:val="center"/>
          </w:tcPr>
          <w:p w:rsidR="00E85FED" w:rsidRPr="00E85FED" w:rsidRDefault="00E85FED" w:rsidP="00E85FED">
            <w:pPr>
              <w:rPr>
                <w:rFonts w:ascii="宋体" w:eastAsia="宋体" w:hAnsi="宋体"/>
              </w:rPr>
            </w:pPr>
            <w:r>
              <w:rPr>
                <w:rFonts w:ascii="宋体" w:eastAsia="宋体" w:hAnsi="宋体" w:hint="eastAsia"/>
              </w:rPr>
              <w:t>权益登记日登记在册的本基金份额持有人</w:t>
            </w:r>
          </w:p>
        </w:tc>
      </w:tr>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红利再投资相关事项的说明</w:t>
            </w:r>
          </w:p>
        </w:tc>
        <w:tc>
          <w:tcPr>
            <w:tcW w:w="5682" w:type="dxa"/>
            <w:vAlign w:val="center"/>
          </w:tcPr>
          <w:p w:rsidR="00E85FED" w:rsidRPr="00E85FED" w:rsidRDefault="00E85FED" w:rsidP="00E85FED">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2023年12月11日的基金份额净值为计算基准确定再投资份额，红利再投资所转换的基金份额于2023年12月12日直接划入其基金账户，2023年12月13日起投资者可以查询、赎回。</w:t>
            </w:r>
          </w:p>
        </w:tc>
      </w:tr>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税收相关事项的说明</w:t>
            </w:r>
          </w:p>
        </w:tc>
        <w:tc>
          <w:tcPr>
            <w:tcW w:w="5682" w:type="dxa"/>
            <w:vAlign w:val="center"/>
          </w:tcPr>
          <w:p w:rsidR="00E85FED" w:rsidRPr="00E85FED" w:rsidRDefault="00E85FED" w:rsidP="00E85FED">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E85FED" w:rsidTr="00E85FED">
        <w:trPr>
          <w:divId w:val="787164863"/>
        </w:trPr>
        <w:tc>
          <w:tcPr>
            <w:tcW w:w="2840" w:type="dxa"/>
            <w:vAlign w:val="center"/>
          </w:tcPr>
          <w:p w:rsidR="00E85FED" w:rsidRPr="00E85FED" w:rsidRDefault="00E85FED" w:rsidP="00E85FED">
            <w:pPr>
              <w:rPr>
                <w:rFonts w:ascii="宋体" w:eastAsia="宋体" w:hAnsi="宋体"/>
              </w:rPr>
            </w:pPr>
            <w:r>
              <w:rPr>
                <w:rFonts w:ascii="宋体" w:eastAsia="宋体" w:hAnsi="宋体" w:hint="eastAsia"/>
              </w:rPr>
              <w:t>费用相关事项的说明</w:t>
            </w:r>
          </w:p>
        </w:tc>
        <w:tc>
          <w:tcPr>
            <w:tcW w:w="5682" w:type="dxa"/>
            <w:vAlign w:val="center"/>
          </w:tcPr>
          <w:p w:rsidR="00E85FED" w:rsidRPr="00E85FED" w:rsidRDefault="00E85FED" w:rsidP="00E85FED">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E85FED" w:rsidRDefault="00E85FED" w:rsidP="00E85FED">
      <w:pPr>
        <w:divId w:val="787164863"/>
      </w:pPr>
    </w:p>
    <w:p w:rsidR="00E85FED" w:rsidRDefault="00E85FED" w:rsidP="00E85FED">
      <w:pPr>
        <w:pStyle w:val="3"/>
        <w:divId w:val="787164863"/>
        <w:rPr>
          <w:rFonts w:ascii="宋体" w:eastAsia="宋体" w:hAnsi="宋体"/>
          <w:sz w:val="21"/>
        </w:rPr>
      </w:pPr>
      <w:r w:rsidRPr="00E85FED">
        <w:rPr>
          <w:rFonts w:ascii="宋体" w:eastAsia="宋体" w:hAnsi="宋体" w:hint="eastAsia"/>
          <w:sz w:val="21"/>
        </w:rPr>
        <w:t>3 其他需要提示的事项</w:t>
      </w:r>
    </w:p>
    <w:p w:rsidR="00E85FED" w:rsidRDefault="00E85FED">
      <w:pPr>
        <w:pStyle w:val="a4"/>
        <w:spacing w:before="0" w:beforeAutospacing="0" w:after="0" w:afterAutospacing="0" w:line="360" w:lineRule="auto"/>
        <w:ind w:firstLine="420"/>
        <w:divId w:val="1270695175"/>
        <w:rPr>
          <w:sz w:val="21"/>
          <w:szCs w:val="21"/>
        </w:rPr>
      </w:pPr>
      <w:r>
        <w:rPr>
          <w:rFonts w:hint="eastAsia"/>
          <w:sz w:val="21"/>
          <w:szCs w:val="21"/>
        </w:rPr>
        <w:t xml:space="preserve">（1）权益登记日申购或转换转入的基金份额不享有本次分红权益，赎回或转换转出的基金份额享有本次分红权益。 </w:t>
      </w:r>
    </w:p>
    <w:p w:rsidR="00E85FED" w:rsidRDefault="00E85FED">
      <w:pPr>
        <w:pStyle w:val="a4"/>
        <w:spacing w:before="0" w:beforeAutospacing="0" w:after="0" w:afterAutospacing="0" w:line="360" w:lineRule="auto"/>
        <w:ind w:firstLine="420"/>
        <w:divId w:val="1270695175"/>
        <w:rPr>
          <w:sz w:val="21"/>
          <w:szCs w:val="21"/>
        </w:rPr>
      </w:pPr>
      <w:r>
        <w:rPr>
          <w:rFonts w:hint="eastAsia"/>
          <w:sz w:val="21"/>
          <w:szCs w:val="21"/>
        </w:rPr>
        <w:t xml:space="preserve">（2）对于未选择本基金具体分红方式的投资者，本基金默认的分红方式为现金红利方式。 </w:t>
      </w:r>
    </w:p>
    <w:p w:rsidR="00E85FED" w:rsidRDefault="00E85FED">
      <w:pPr>
        <w:pStyle w:val="a4"/>
        <w:spacing w:before="0" w:beforeAutospacing="0" w:after="0" w:afterAutospacing="0" w:line="360" w:lineRule="auto"/>
        <w:ind w:firstLine="420"/>
        <w:divId w:val="1270695175"/>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2023年12月11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E85FED" w:rsidRDefault="00E85FED">
      <w:pPr>
        <w:pStyle w:val="a4"/>
        <w:spacing w:before="0" w:beforeAutospacing="0" w:after="0" w:afterAutospacing="0" w:line="360" w:lineRule="auto"/>
        <w:ind w:firstLine="420"/>
        <w:divId w:val="1270695175"/>
        <w:rPr>
          <w:sz w:val="21"/>
          <w:szCs w:val="21"/>
        </w:rPr>
      </w:pPr>
      <w:r>
        <w:rPr>
          <w:rFonts w:hint="eastAsia"/>
          <w:sz w:val="21"/>
          <w:szCs w:val="21"/>
        </w:rPr>
        <w:t xml:space="preserve">（4）若投资者选择红利再投资方式并在2023年12月11日申请赎回基金份额的，其账户余额（包括红利再投资份额）低于10.00份时，本基金将自动计算其分红收益，并与赎回款一起以现金形式支付。 </w:t>
      </w:r>
    </w:p>
    <w:p w:rsidR="00E85FED" w:rsidRDefault="00E85FED">
      <w:pPr>
        <w:pStyle w:val="a4"/>
        <w:spacing w:before="0" w:beforeAutospacing="0" w:after="0" w:afterAutospacing="0" w:line="360" w:lineRule="auto"/>
        <w:ind w:firstLine="420"/>
        <w:divId w:val="1270695175"/>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E85FED" w:rsidRDefault="00E85FED">
      <w:pPr>
        <w:pStyle w:val="a4"/>
        <w:spacing w:before="0" w:beforeAutospacing="0" w:after="0" w:afterAutospacing="0" w:line="360" w:lineRule="auto"/>
        <w:ind w:firstLine="420"/>
        <w:divId w:val="1270695175"/>
        <w:rPr>
          <w:sz w:val="21"/>
          <w:szCs w:val="21"/>
        </w:rPr>
      </w:pPr>
      <w:r>
        <w:rPr>
          <w:rFonts w:hint="eastAsia"/>
          <w:sz w:val="21"/>
          <w:szCs w:val="21"/>
        </w:rPr>
        <w:lastRenderedPageBreak/>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E85FED" w:rsidRDefault="00E85FED" w:rsidP="00E85FED">
      <w:pPr>
        <w:pStyle w:val="a4"/>
        <w:spacing w:before="0" w:beforeAutospacing="0" w:after="0" w:afterAutospacing="0" w:line="360" w:lineRule="auto"/>
        <w:ind w:firstLine="420"/>
        <w:divId w:val="1270695175"/>
        <w:rPr>
          <w:sz w:val="21"/>
          <w:szCs w:val="21"/>
        </w:rPr>
      </w:pPr>
      <w:r>
        <w:rPr>
          <w:rFonts w:hint="eastAsia"/>
          <w:sz w:val="21"/>
          <w:szCs w:val="21"/>
        </w:rPr>
        <w:t xml:space="preserve">特此公告。 </w:t>
      </w:r>
    </w:p>
    <w:p w:rsidR="00E85FED" w:rsidRDefault="00E85FED" w:rsidP="00E85FED">
      <w:pPr>
        <w:pStyle w:val="a4"/>
        <w:spacing w:before="0" w:beforeAutospacing="0" w:after="0" w:afterAutospacing="0" w:line="360" w:lineRule="auto"/>
        <w:ind w:firstLine="420"/>
        <w:divId w:val="1270695175"/>
        <w:rPr>
          <w:sz w:val="21"/>
          <w:szCs w:val="21"/>
        </w:rPr>
      </w:pPr>
    </w:p>
    <w:p w:rsidR="00E85FED" w:rsidRDefault="00E85FED" w:rsidP="00E85FED">
      <w:pPr>
        <w:pStyle w:val="a4"/>
        <w:spacing w:before="0" w:beforeAutospacing="0" w:after="0" w:afterAutospacing="0" w:line="360" w:lineRule="auto"/>
        <w:ind w:firstLine="420"/>
        <w:divId w:val="1270695175"/>
        <w:rPr>
          <w:sz w:val="21"/>
          <w:szCs w:val="21"/>
        </w:rPr>
      </w:pPr>
    </w:p>
    <w:p w:rsidR="00E85FED" w:rsidRDefault="00E85FED" w:rsidP="00E85FED">
      <w:pPr>
        <w:pStyle w:val="a4"/>
        <w:spacing w:before="0" w:beforeAutospacing="0" w:after="0" w:afterAutospacing="0" w:line="360" w:lineRule="auto"/>
        <w:ind w:firstLine="420"/>
        <w:divId w:val="1270695175"/>
        <w:rPr>
          <w:sz w:val="21"/>
          <w:szCs w:val="21"/>
        </w:rPr>
      </w:pPr>
    </w:p>
    <w:p w:rsidR="00E85FED" w:rsidRDefault="00E85FED" w:rsidP="00E85FED">
      <w:pPr>
        <w:pStyle w:val="a4"/>
        <w:spacing w:before="0" w:beforeAutospacing="0" w:after="0" w:afterAutospacing="0" w:line="360" w:lineRule="auto"/>
        <w:ind w:firstLine="420"/>
        <w:jc w:val="right"/>
        <w:divId w:val="1270695175"/>
        <w:rPr>
          <w:sz w:val="21"/>
          <w:szCs w:val="21"/>
        </w:rPr>
      </w:pPr>
      <w:r w:rsidRPr="00E85FED">
        <w:rPr>
          <w:rFonts w:hint="eastAsia"/>
          <w:sz w:val="21"/>
          <w:szCs w:val="21"/>
        </w:rPr>
        <w:t>博时基金管理有限公司</w:t>
      </w:r>
    </w:p>
    <w:p w:rsidR="00E85FED" w:rsidRDefault="00E85FED" w:rsidP="00E85FED">
      <w:pPr>
        <w:pStyle w:val="a4"/>
        <w:spacing w:before="0" w:beforeAutospacing="0" w:after="0" w:afterAutospacing="0" w:line="360" w:lineRule="auto"/>
        <w:ind w:firstLine="420"/>
        <w:jc w:val="right"/>
        <w:divId w:val="1270695175"/>
        <w:rPr>
          <w:sz w:val="21"/>
          <w:szCs w:val="21"/>
        </w:rPr>
      </w:pPr>
      <w:r w:rsidRPr="00E85FED">
        <w:rPr>
          <w:sz w:val="21"/>
          <w:szCs w:val="21"/>
        </w:rPr>
        <w:t>2023年12月7日</w:t>
      </w:r>
    </w:p>
    <w:p w:rsidR="00E85FED" w:rsidRPr="00E85FED" w:rsidRDefault="00E85FED" w:rsidP="00E85FED">
      <w:pPr>
        <w:pStyle w:val="a4"/>
        <w:spacing w:before="0" w:beforeAutospacing="0" w:after="0" w:afterAutospacing="0" w:line="360" w:lineRule="auto"/>
        <w:ind w:firstLine="420"/>
        <w:jc w:val="right"/>
        <w:divId w:val="1270695175"/>
        <w:rPr>
          <w:sz w:val="21"/>
          <w:szCs w:val="21"/>
        </w:rPr>
      </w:pPr>
    </w:p>
    <w:sectPr w:rsidR="00E85FED" w:rsidRPr="00E85FED" w:rsidSect="00E717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FED"/>
    <w:rsid w:val="00877207"/>
    <w:rsid w:val="00E717C1"/>
    <w:rsid w:val="00E85FED"/>
    <w:rsid w:val="00FD2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C1"/>
    <w:pPr>
      <w:widowControl w:val="0"/>
      <w:jc w:val="both"/>
    </w:pPr>
  </w:style>
  <w:style w:type="paragraph" w:styleId="3">
    <w:name w:val="heading 3"/>
    <w:basedOn w:val="a"/>
    <w:next w:val="a"/>
    <w:link w:val="3Char"/>
    <w:uiPriority w:val="9"/>
    <w:unhideWhenUsed/>
    <w:qFormat/>
    <w:rsid w:val="00E85F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85FED"/>
    <w:rPr>
      <w:b/>
      <w:bCs/>
      <w:sz w:val="32"/>
      <w:szCs w:val="32"/>
    </w:rPr>
  </w:style>
  <w:style w:type="table" w:styleId="a3">
    <w:name w:val="Table Grid"/>
    <w:basedOn w:val="a1"/>
    <w:uiPriority w:val="59"/>
    <w:rsid w:val="00E85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85F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E85F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85FED"/>
    <w:rPr>
      <w:b/>
      <w:bCs/>
      <w:sz w:val="32"/>
      <w:szCs w:val="32"/>
    </w:rPr>
  </w:style>
  <w:style w:type="table" w:styleId="a3">
    <w:name w:val="Table Grid"/>
    <w:basedOn w:val="a1"/>
    <w:uiPriority w:val="59"/>
    <w:rsid w:val="00E8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85F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127069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1442</Characters>
  <Application>Microsoft Office Word</Application>
  <DocSecurity>4</DocSecurity>
  <Lines>12</Lines>
  <Paragraphs>3</Paragraphs>
  <ScaleCrop>false</ScaleCrop>
  <Company>mycompany</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2023-12-06T16:02:00Z</dcterms:created>
  <dcterms:modified xsi:type="dcterms:W3CDTF">2023-12-06T16:02:00Z</dcterms:modified>
</cp:coreProperties>
</file>