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AE" w:rsidRDefault="00FE748B">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A60DAE" w:rsidRDefault="00FE748B" w:rsidP="001055F1">
      <w:pPr>
        <w:spacing w:afterLines="50" w:line="500" w:lineRule="exact"/>
        <w:jc w:val="center"/>
        <w:rPr>
          <w:rFonts w:ascii="黑体" w:eastAsia="黑体" w:hAnsi="黑体"/>
          <w:sz w:val="30"/>
          <w:szCs w:val="30"/>
        </w:rPr>
      </w:pPr>
      <w:r>
        <w:rPr>
          <w:rFonts w:ascii="黑体" w:eastAsia="黑体" w:hAnsi="黑体" w:hint="eastAsia"/>
          <w:sz w:val="30"/>
          <w:szCs w:val="30"/>
        </w:rPr>
        <w:t>关于旗下部分基金新增代销机构的公告</w:t>
      </w:r>
    </w:p>
    <w:p w:rsidR="00A60DAE" w:rsidRDefault="00FE748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为满足广大投资者的理财需求，经申万菱信基金管理有限公司（以下简称“本公司”）与部分代销机构协商一致，本公司旗下部分基金新增代销机构，详情如下：</w:t>
      </w:r>
    </w:p>
    <w:p w:rsidR="00A60DAE" w:rsidRDefault="00FE748B">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A60DAE" w:rsidRDefault="00FE748B">
      <w:pPr>
        <w:numPr>
          <w:ilvl w:val="0"/>
          <w:numId w:val="2"/>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2023年1</w:t>
      </w:r>
      <w:r w:rsidR="0026035F">
        <w:rPr>
          <w:rFonts w:ascii="仿宋" w:eastAsia="仿宋" w:hAnsi="仿宋" w:cs="仿宋"/>
          <w:sz w:val="24"/>
          <w:szCs w:val="24"/>
        </w:rPr>
        <w:t>2</w:t>
      </w:r>
      <w:r>
        <w:rPr>
          <w:rFonts w:ascii="仿宋" w:eastAsia="仿宋" w:hAnsi="仿宋" w:cs="仿宋" w:hint="eastAsia"/>
          <w:sz w:val="24"/>
          <w:szCs w:val="24"/>
        </w:rPr>
        <w:t>月</w:t>
      </w:r>
      <w:r w:rsidR="0026035F">
        <w:rPr>
          <w:rFonts w:ascii="仿宋" w:eastAsia="仿宋" w:hAnsi="仿宋" w:cs="仿宋"/>
          <w:sz w:val="24"/>
          <w:szCs w:val="24"/>
        </w:rPr>
        <w:t>1</w:t>
      </w:r>
      <w:r>
        <w:rPr>
          <w:rFonts w:ascii="仿宋" w:eastAsia="仿宋" w:hAnsi="仿宋" w:cs="仿宋" w:hint="eastAsia"/>
          <w:sz w:val="24"/>
          <w:szCs w:val="24"/>
        </w:rPr>
        <w:t>日起，投资者可通过</w:t>
      </w:r>
      <w:r w:rsidR="0026035F">
        <w:rPr>
          <w:rFonts w:ascii="仿宋" w:eastAsia="仿宋" w:hAnsi="仿宋" w:cs="仿宋" w:hint="eastAsia"/>
          <w:sz w:val="24"/>
          <w:szCs w:val="24"/>
        </w:rPr>
        <w:t>国金证券股份有限公司</w:t>
      </w:r>
      <w:r>
        <w:rPr>
          <w:rFonts w:ascii="仿宋" w:eastAsia="仿宋" w:hAnsi="仿宋" w:cs="仿宋" w:hint="eastAsia"/>
          <w:sz w:val="24"/>
          <w:szCs w:val="24"/>
        </w:rPr>
        <w:t>（简称“</w:t>
      </w:r>
      <w:r w:rsidR="0026035F">
        <w:rPr>
          <w:rFonts w:ascii="仿宋" w:eastAsia="仿宋" w:hAnsi="仿宋" w:cs="仿宋" w:hint="eastAsia"/>
          <w:sz w:val="24"/>
          <w:szCs w:val="24"/>
        </w:rPr>
        <w:t>国金证券</w:t>
      </w:r>
      <w:r>
        <w:rPr>
          <w:rFonts w:ascii="仿宋" w:eastAsia="仿宋" w:hAnsi="仿宋" w:cs="仿宋" w:hint="eastAsia"/>
          <w:sz w:val="24"/>
          <w:szCs w:val="24"/>
        </w:rPr>
        <w:t>”）办理下表所列基金产品的开户、申购、赎回等相关业务。</w:t>
      </w:r>
    </w:p>
    <w:tbl>
      <w:tblPr>
        <w:tblW w:w="8359" w:type="dxa"/>
        <w:tblLook w:val="04A0"/>
      </w:tblPr>
      <w:tblGrid>
        <w:gridCol w:w="1271"/>
        <w:gridCol w:w="5812"/>
        <w:gridCol w:w="1276"/>
      </w:tblGrid>
      <w:tr w:rsidR="0073028E" w:rsidRPr="0073028E" w:rsidTr="0073028E">
        <w:trPr>
          <w:trHeight w:val="41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代码</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基金名称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TA类别</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009557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申万菱信创业板量化精选股票型证券投资基金A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010505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申万菱信创业板量化精选股票型证券投资基金C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010531</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申万菱信中证申万电子行业投资指数型证券投资基金（LOF）C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001724</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申万菱信多策略灵活配置混合型证券投资基金C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011985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申万菱信合利纯债债券型证券投资基金A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011986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申万菱信合利纯债债券型证券投资基金C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007800</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申万菱信沪深300价值指数证券投资基金C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016103</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申万菱信沪深300优选指数增强发起式证券投资基金A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016104</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申万菱信沪深300优选指数增强发起式证券投资基金C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012626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申万菱信汇元宝债券型证券投资基金A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012627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申万菱信汇元宝债券型证券投资基金C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015158</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申万菱信价值精选混合型证券投资基金C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lastRenderedPageBreak/>
              <w:t>017065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申万菱信价值臻选混合型证券投资基金A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017066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申万菱信价值臻选混合型证券投资基金C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015173</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申万菱信竞争优势混合型证券投资基金C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015167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申万菱信可转换债券债券型证券投资基金C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015445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申万菱信绿色纯债债券型发起式证券投资基金A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015446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申万菱信绿色纯债债券型发起式证券投资基金C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017071</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申万菱信全球新能源股票型发起式证券投资基金（QDII）A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017072</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申万菱信全球新能源股票型发起式证券投资基金（QDII）C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015177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申万菱信深证成份指数型证券投资基金C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010735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申万菱信稳健养老目标一年持有期混合型发起式基金中基金（FOF）A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016748</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申万菱信稳鑫60天滚动持有中短债债券型证券投资基金A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016749</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申万菱信稳鑫60天滚动持有中短债债券型证券投资基金C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015175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申万菱信稳益宝债券型证券投资基金C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015254</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申万菱信消费增长混合型证券投资基金C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bookmarkStart w:id="0" w:name="_GoBack"/>
        <w:bookmarkEnd w:id="0"/>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005009</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申万菱信行业轮动股票型证券投资基金A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015157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申万菱信行业轮动股票型证券投资基金C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017291</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申万菱信养老目标日期2045五年持有期混合型发起式基金中基金（FOF)</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lastRenderedPageBreak/>
              <w:t>015176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申万菱信中证申万医药生物指数型证券投资基金C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015171</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申万菱信医药先锋股票型证券投资基金C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015159</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申万菱信智能驱动股票型证券投资基金C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016515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申万菱信智能生活量化选股混合型发起式证券投资基金A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016516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申万菱信智能生活量化选股混合型发起式证券投资基金C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007799</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申万菱信中小企业100指数证券投资基金（LOF）C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018207</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申万菱信中证沪港深数字经济主题指数型发起式证券投资基金A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018208</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申万菱信中证沪港深数字经济主题指数型发起式证券投资基金C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016209</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申万菱信中证军工指数型证券投资基金C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016225</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申万菱信中证内地新能源主题交易型开放式指数证券投资基金发起式联接基金A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016226</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申万菱信中证内地新能源主题交易型开放式指数证券投资基金发起式联接基金C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015178</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申万菱信中证申万证券行业指数型证券投资基金C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中登TA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007983</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申万菱信中证研发创新100交易型开放式指数证券投资基金联接基金A</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r w:rsidR="0073028E" w:rsidRPr="0073028E" w:rsidTr="0073028E">
        <w:trPr>
          <w:trHeight w:val="4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3028E" w:rsidRPr="0073028E" w:rsidRDefault="0073028E" w:rsidP="0073028E">
            <w:pPr>
              <w:widowControl/>
              <w:jc w:val="center"/>
              <w:rPr>
                <w:rFonts w:ascii="仿宋" w:eastAsia="仿宋" w:hAnsi="仿宋" w:cs="仿宋"/>
                <w:sz w:val="24"/>
                <w:szCs w:val="24"/>
              </w:rPr>
            </w:pPr>
            <w:r w:rsidRPr="0073028E">
              <w:rPr>
                <w:rFonts w:ascii="仿宋" w:eastAsia="仿宋" w:hAnsi="仿宋" w:cs="仿宋" w:hint="eastAsia"/>
                <w:sz w:val="24"/>
                <w:szCs w:val="24"/>
              </w:rPr>
              <w:t>007984</w:t>
            </w:r>
          </w:p>
        </w:tc>
        <w:tc>
          <w:tcPr>
            <w:tcW w:w="5812"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申万菱信中证研发创新100交易型开放式指数证券投资基金联接基金C</w:t>
            </w:r>
          </w:p>
        </w:tc>
        <w:tc>
          <w:tcPr>
            <w:tcW w:w="1276" w:type="dxa"/>
            <w:tcBorders>
              <w:top w:val="nil"/>
              <w:left w:val="nil"/>
              <w:bottom w:val="single" w:sz="4" w:space="0" w:color="auto"/>
              <w:right w:val="single" w:sz="4" w:space="0" w:color="auto"/>
            </w:tcBorders>
            <w:shd w:val="clear" w:color="auto" w:fill="auto"/>
            <w:noWrap/>
            <w:vAlign w:val="center"/>
            <w:hideMark/>
          </w:tcPr>
          <w:p w:rsidR="0073028E" w:rsidRPr="0073028E" w:rsidRDefault="0073028E" w:rsidP="0073028E">
            <w:pPr>
              <w:widowControl/>
              <w:jc w:val="left"/>
              <w:rPr>
                <w:rFonts w:ascii="仿宋" w:eastAsia="仿宋" w:hAnsi="仿宋" w:cs="仿宋"/>
                <w:sz w:val="24"/>
                <w:szCs w:val="24"/>
              </w:rPr>
            </w:pPr>
            <w:r w:rsidRPr="0073028E">
              <w:rPr>
                <w:rFonts w:ascii="仿宋" w:eastAsia="仿宋" w:hAnsi="仿宋" w:cs="仿宋" w:hint="eastAsia"/>
                <w:sz w:val="24"/>
                <w:szCs w:val="24"/>
              </w:rPr>
              <w:t>自建TA</w:t>
            </w:r>
          </w:p>
        </w:tc>
      </w:tr>
    </w:tbl>
    <w:p w:rsidR="0073028E" w:rsidRDefault="0073028E" w:rsidP="0073028E">
      <w:pPr>
        <w:spacing w:line="500" w:lineRule="exact"/>
        <w:rPr>
          <w:rFonts w:ascii="仿宋" w:eastAsia="仿宋" w:hAnsi="仿宋" w:cs="仿宋"/>
          <w:sz w:val="24"/>
          <w:szCs w:val="24"/>
        </w:rPr>
      </w:pPr>
    </w:p>
    <w:p w:rsidR="00FE748B" w:rsidRDefault="00FE748B" w:rsidP="00FE748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注：</w:t>
      </w:r>
      <w:r w:rsidR="0073028E">
        <w:rPr>
          <w:rFonts w:ascii="仿宋" w:eastAsia="仿宋" w:hAnsi="仿宋" w:cs="仿宋" w:hint="eastAsia"/>
          <w:sz w:val="24"/>
          <w:szCs w:val="24"/>
        </w:rPr>
        <w:t>1、</w:t>
      </w:r>
      <w:r>
        <w:rPr>
          <w:rFonts w:ascii="仿宋" w:eastAsia="仿宋" w:hAnsi="仿宋" w:cs="仿宋" w:hint="eastAsia"/>
          <w:sz w:val="24"/>
          <w:szCs w:val="24"/>
        </w:rPr>
        <w:t>本公司旗下自建TA基金与中登（“中登”为中国证券登记结算有限公司的简称）TA基金之间不能相互转换，以上基金产品的具体业务规则以各代销机构的规定为准。</w:t>
      </w:r>
    </w:p>
    <w:p w:rsidR="00A60DAE" w:rsidRPr="00FE748B" w:rsidRDefault="00A60DAE">
      <w:pPr>
        <w:spacing w:line="500" w:lineRule="exact"/>
        <w:ind w:firstLineChars="200" w:firstLine="480"/>
        <w:rPr>
          <w:rFonts w:ascii="仿宋" w:eastAsia="仿宋" w:hAnsi="仿宋" w:cs="仿宋"/>
          <w:sz w:val="24"/>
          <w:szCs w:val="24"/>
        </w:rPr>
      </w:pPr>
    </w:p>
    <w:p w:rsidR="00A60DAE" w:rsidRDefault="00FE748B">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9"/>
        <w:gridCol w:w="2958"/>
        <w:gridCol w:w="3452"/>
      </w:tblGrid>
      <w:tr w:rsidR="00A60DAE" w:rsidTr="0073028E">
        <w:trPr>
          <w:trHeight w:val="375"/>
        </w:trPr>
        <w:tc>
          <w:tcPr>
            <w:tcW w:w="1238" w:type="pct"/>
            <w:tcBorders>
              <w:tl2br w:val="nil"/>
              <w:tr2bl w:val="nil"/>
            </w:tcBorders>
            <w:shd w:val="clear" w:color="auto" w:fill="FFFFFF" w:themeFill="background1"/>
            <w:vAlign w:val="center"/>
          </w:tcPr>
          <w:p w:rsidR="00A60DAE" w:rsidRDefault="00FE748B">
            <w:pPr>
              <w:widowControl/>
              <w:spacing w:line="500" w:lineRule="exact"/>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代销机构简称</w:t>
            </w:r>
          </w:p>
        </w:tc>
        <w:tc>
          <w:tcPr>
            <w:tcW w:w="1736" w:type="pct"/>
            <w:tcBorders>
              <w:tl2br w:val="nil"/>
              <w:tr2bl w:val="nil"/>
            </w:tcBorders>
            <w:shd w:val="clear" w:color="auto" w:fill="FFFFFF" w:themeFill="background1"/>
            <w:vAlign w:val="center"/>
          </w:tcPr>
          <w:p w:rsidR="00A60DAE" w:rsidRDefault="00FE748B">
            <w:pPr>
              <w:widowControl/>
              <w:spacing w:line="500" w:lineRule="exact"/>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客服电话</w:t>
            </w:r>
          </w:p>
        </w:tc>
        <w:tc>
          <w:tcPr>
            <w:tcW w:w="2026" w:type="pct"/>
            <w:tcBorders>
              <w:tl2br w:val="nil"/>
              <w:tr2bl w:val="nil"/>
            </w:tcBorders>
            <w:shd w:val="clear" w:color="auto" w:fill="FFFFFF" w:themeFill="background1"/>
            <w:vAlign w:val="center"/>
          </w:tcPr>
          <w:p w:rsidR="00A60DAE" w:rsidRDefault="00FE748B">
            <w:pPr>
              <w:widowControl/>
              <w:spacing w:line="500" w:lineRule="exact"/>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官方网站</w:t>
            </w:r>
          </w:p>
        </w:tc>
      </w:tr>
      <w:tr w:rsidR="0073028E" w:rsidTr="0073028E">
        <w:trPr>
          <w:trHeight w:val="270"/>
        </w:trPr>
        <w:tc>
          <w:tcPr>
            <w:tcW w:w="1238" w:type="pct"/>
            <w:tcBorders>
              <w:tl2br w:val="nil"/>
              <w:tr2bl w:val="nil"/>
            </w:tcBorders>
            <w:shd w:val="clear" w:color="auto" w:fill="FFFFFF" w:themeFill="background1"/>
            <w:vAlign w:val="center"/>
          </w:tcPr>
          <w:p w:rsidR="0073028E" w:rsidRDefault="0073028E" w:rsidP="0073028E">
            <w:pPr>
              <w:widowControl/>
              <w:jc w:val="center"/>
              <w:rPr>
                <w:rFonts w:ascii="仿宋" w:eastAsia="仿宋" w:hAnsi="仿宋" w:cs="宋体"/>
                <w:color w:val="000000"/>
                <w:kern w:val="0"/>
                <w:sz w:val="22"/>
              </w:rPr>
            </w:pPr>
            <w:r>
              <w:rPr>
                <w:rFonts w:ascii="仿宋" w:eastAsia="仿宋" w:hAnsi="仿宋" w:hint="eastAsia"/>
                <w:color w:val="000000"/>
                <w:sz w:val="22"/>
              </w:rPr>
              <w:t>国金证券</w:t>
            </w:r>
          </w:p>
        </w:tc>
        <w:tc>
          <w:tcPr>
            <w:tcW w:w="1736" w:type="pct"/>
            <w:tcBorders>
              <w:tl2br w:val="nil"/>
              <w:tr2bl w:val="nil"/>
            </w:tcBorders>
            <w:shd w:val="clear" w:color="auto" w:fill="FFFFFF" w:themeFill="background1"/>
            <w:vAlign w:val="center"/>
          </w:tcPr>
          <w:p w:rsidR="0073028E" w:rsidRDefault="0073028E" w:rsidP="0073028E">
            <w:pPr>
              <w:jc w:val="center"/>
              <w:rPr>
                <w:rFonts w:ascii="仿宋" w:eastAsia="仿宋" w:hAnsi="仿宋"/>
                <w:color w:val="000000"/>
                <w:sz w:val="22"/>
              </w:rPr>
            </w:pPr>
            <w:r>
              <w:rPr>
                <w:rFonts w:ascii="仿宋" w:eastAsia="仿宋" w:hAnsi="仿宋" w:hint="eastAsia"/>
                <w:color w:val="000000"/>
                <w:sz w:val="22"/>
              </w:rPr>
              <w:t>95310</w:t>
            </w:r>
          </w:p>
        </w:tc>
        <w:tc>
          <w:tcPr>
            <w:tcW w:w="2026" w:type="pct"/>
            <w:tcBorders>
              <w:tl2br w:val="nil"/>
              <w:tr2bl w:val="nil"/>
            </w:tcBorders>
            <w:shd w:val="clear" w:color="auto" w:fill="FFFFFF" w:themeFill="background1"/>
            <w:noWrap/>
            <w:vAlign w:val="bottom"/>
          </w:tcPr>
          <w:p w:rsidR="0073028E" w:rsidRDefault="0073028E" w:rsidP="0073028E">
            <w:pPr>
              <w:jc w:val="center"/>
              <w:rPr>
                <w:rFonts w:ascii="仿宋" w:eastAsia="仿宋" w:hAnsi="仿宋"/>
                <w:color w:val="000000"/>
                <w:sz w:val="22"/>
              </w:rPr>
            </w:pPr>
            <w:r>
              <w:rPr>
                <w:rFonts w:ascii="仿宋" w:eastAsia="仿宋" w:hAnsi="仿宋" w:hint="eastAsia"/>
                <w:color w:val="000000"/>
                <w:sz w:val="22"/>
              </w:rPr>
              <w:t>www.gjzq.com.cn</w:t>
            </w:r>
          </w:p>
        </w:tc>
      </w:tr>
    </w:tbl>
    <w:p w:rsidR="00A60DAE" w:rsidRDefault="00FE748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本公司旗下各基金的销售机构信息也可登录本公司官方网站（www.swsmu.com）进行查询，投资者若希望了解各基金详情，请参阅本公司发布的相关公告或可拨打本公司客服电话（400-880-8588或021-962299）进行咨询。</w:t>
      </w:r>
    </w:p>
    <w:p w:rsidR="00FE748B" w:rsidRDefault="00FE748B" w:rsidP="00FE748B">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基金名称中含有“养老”并不代表收益保障或其他任何形式的收益承诺，相关基金不保本，可能发生亏损。基金管理人依照恪尽职守、诚实信用、谨慎勤勉的原则管理和运用基金财产，但不保证投资于基金一定盈利，也不保证最低收益。敬请投资者注意投资风险。</w:t>
      </w:r>
    </w:p>
    <w:p w:rsidR="00A60DAE" w:rsidRDefault="00FE748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欢迎广大投资者垂询、惠顾办理本公司旗下各基金的开户、认购、申购、定投、转换等相关业务。</w:t>
      </w:r>
    </w:p>
    <w:p w:rsidR="00A60DAE" w:rsidRDefault="00FE748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A60DAE" w:rsidRDefault="00FE748B">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申万菱信基金管理有限公司</w:t>
      </w:r>
    </w:p>
    <w:p w:rsidR="00A60DAE" w:rsidRDefault="00FE748B">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2023年11月</w:t>
      </w:r>
      <w:r w:rsidR="0073028E">
        <w:rPr>
          <w:rFonts w:ascii="仿宋" w:eastAsia="仿宋" w:hAnsi="仿宋" w:cs="仿宋"/>
          <w:sz w:val="24"/>
          <w:szCs w:val="24"/>
        </w:rPr>
        <w:t>30</w:t>
      </w:r>
      <w:r>
        <w:rPr>
          <w:rFonts w:ascii="仿宋" w:eastAsia="仿宋" w:hAnsi="仿宋" w:cs="仿宋" w:hint="eastAsia"/>
          <w:sz w:val="24"/>
          <w:szCs w:val="24"/>
        </w:rPr>
        <w:t>日</w:t>
      </w:r>
    </w:p>
    <w:p w:rsidR="00A60DAE" w:rsidRDefault="00A60DAE">
      <w:pPr>
        <w:spacing w:line="500" w:lineRule="exact"/>
        <w:jc w:val="right"/>
        <w:rPr>
          <w:rFonts w:asciiTheme="minorEastAsia" w:hAnsiTheme="minorEastAsia"/>
          <w:sz w:val="24"/>
          <w:szCs w:val="24"/>
        </w:rPr>
      </w:pPr>
    </w:p>
    <w:sectPr w:rsidR="00A60DAE" w:rsidSect="00192E89">
      <w:pgSz w:w="11906" w:h="16838"/>
      <w:pgMar w:top="82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56" w:rsidRDefault="00F73856" w:rsidP="00F73856">
      <w:r>
        <w:separator/>
      </w:r>
    </w:p>
  </w:endnote>
  <w:endnote w:type="continuationSeparator" w:id="0">
    <w:p w:rsidR="00F73856" w:rsidRDefault="00F73856" w:rsidP="00F73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56" w:rsidRDefault="00F73856" w:rsidP="00F73856">
      <w:r>
        <w:separator/>
      </w:r>
    </w:p>
  </w:footnote>
  <w:footnote w:type="continuationSeparator" w:id="0">
    <w:p w:rsidR="00F73856" w:rsidRDefault="00F73856" w:rsidP="00F73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7460"/>
    <w:multiLevelType w:val="singleLevel"/>
    <w:tmpl w:val="26A87460"/>
    <w:lvl w:ilvl="0">
      <w:start w:val="1"/>
      <w:numFmt w:val="decimal"/>
      <w:lvlText w:val="%1."/>
      <w:lvlJc w:val="left"/>
      <w:pPr>
        <w:ind w:left="425" w:hanging="425"/>
      </w:pPr>
      <w:rPr>
        <w:rFonts w:hint="default"/>
      </w:rPr>
    </w:lvl>
  </w:abstractNum>
  <w:abstractNum w:abstractNumId="1">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172A27"/>
    <w:rsid w:val="00023BF5"/>
    <w:rsid w:val="0005384C"/>
    <w:rsid w:val="00062E5E"/>
    <w:rsid w:val="0006394B"/>
    <w:rsid w:val="00070C2C"/>
    <w:rsid w:val="0008747A"/>
    <w:rsid w:val="000A49AD"/>
    <w:rsid w:val="000B530F"/>
    <w:rsid w:val="000B62C9"/>
    <w:rsid w:val="000D53AC"/>
    <w:rsid w:val="001055F1"/>
    <w:rsid w:val="00172A27"/>
    <w:rsid w:val="00192E89"/>
    <w:rsid w:val="00253AF9"/>
    <w:rsid w:val="0026035F"/>
    <w:rsid w:val="00270DD4"/>
    <w:rsid w:val="00304C74"/>
    <w:rsid w:val="003477BB"/>
    <w:rsid w:val="00363A10"/>
    <w:rsid w:val="003748D9"/>
    <w:rsid w:val="003D5218"/>
    <w:rsid w:val="003D641A"/>
    <w:rsid w:val="00462D99"/>
    <w:rsid w:val="00467228"/>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3028E"/>
    <w:rsid w:val="00777F23"/>
    <w:rsid w:val="007A0644"/>
    <w:rsid w:val="007B04A5"/>
    <w:rsid w:val="007E2D28"/>
    <w:rsid w:val="008633F2"/>
    <w:rsid w:val="00890EB2"/>
    <w:rsid w:val="008B05C7"/>
    <w:rsid w:val="008B072A"/>
    <w:rsid w:val="008C7D9E"/>
    <w:rsid w:val="00993121"/>
    <w:rsid w:val="00A305EB"/>
    <w:rsid w:val="00A56168"/>
    <w:rsid w:val="00A60DAE"/>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F0654A"/>
    <w:rsid w:val="00F06A67"/>
    <w:rsid w:val="00F62DC9"/>
    <w:rsid w:val="00F73856"/>
    <w:rsid w:val="00F77FB0"/>
    <w:rsid w:val="00FA0BD7"/>
    <w:rsid w:val="00FB2DE2"/>
    <w:rsid w:val="00FE748B"/>
    <w:rsid w:val="121B6930"/>
    <w:rsid w:val="2CC359C5"/>
    <w:rsid w:val="373A24CE"/>
    <w:rsid w:val="3D1A021A"/>
    <w:rsid w:val="3ED1739E"/>
    <w:rsid w:val="471800D5"/>
    <w:rsid w:val="4FD63A9A"/>
    <w:rsid w:val="67A4164A"/>
    <w:rsid w:val="72C05B47"/>
    <w:rsid w:val="74C1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8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92E89"/>
    <w:pPr>
      <w:jc w:val="left"/>
    </w:pPr>
  </w:style>
  <w:style w:type="paragraph" w:styleId="a4">
    <w:name w:val="Balloon Text"/>
    <w:basedOn w:val="a"/>
    <w:link w:val="Char0"/>
    <w:uiPriority w:val="99"/>
    <w:semiHidden/>
    <w:unhideWhenUsed/>
    <w:qFormat/>
    <w:rsid w:val="00192E89"/>
    <w:rPr>
      <w:sz w:val="18"/>
      <w:szCs w:val="18"/>
    </w:rPr>
  </w:style>
  <w:style w:type="paragraph" w:styleId="a5">
    <w:name w:val="footer"/>
    <w:basedOn w:val="a"/>
    <w:link w:val="Char1"/>
    <w:uiPriority w:val="99"/>
    <w:unhideWhenUsed/>
    <w:qFormat/>
    <w:rsid w:val="00192E8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92E8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92E89"/>
    <w:rPr>
      <w:b/>
      <w:bCs/>
    </w:rPr>
  </w:style>
  <w:style w:type="table" w:styleId="a8">
    <w:name w:val="Table Grid"/>
    <w:basedOn w:val="a1"/>
    <w:uiPriority w:val="59"/>
    <w:qFormat/>
    <w:rsid w:val="0019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192E89"/>
    <w:rPr>
      <w:color w:val="0000FF" w:themeColor="hyperlink"/>
      <w:u w:val="single"/>
    </w:rPr>
  </w:style>
  <w:style w:type="character" w:styleId="aa">
    <w:name w:val="annotation reference"/>
    <w:basedOn w:val="a0"/>
    <w:uiPriority w:val="99"/>
    <w:semiHidden/>
    <w:unhideWhenUsed/>
    <w:qFormat/>
    <w:rsid w:val="00192E89"/>
    <w:rPr>
      <w:sz w:val="21"/>
      <w:szCs w:val="21"/>
    </w:rPr>
  </w:style>
  <w:style w:type="character" w:customStyle="1" w:styleId="Char2">
    <w:name w:val="页眉 Char"/>
    <w:basedOn w:val="a0"/>
    <w:link w:val="a6"/>
    <w:uiPriority w:val="99"/>
    <w:qFormat/>
    <w:rsid w:val="00192E89"/>
    <w:rPr>
      <w:sz w:val="18"/>
      <w:szCs w:val="18"/>
    </w:rPr>
  </w:style>
  <w:style w:type="character" w:customStyle="1" w:styleId="Char1">
    <w:name w:val="页脚 Char"/>
    <w:basedOn w:val="a0"/>
    <w:link w:val="a5"/>
    <w:uiPriority w:val="99"/>
    <w:qFormat/>
    <w:rsid w:val="00192E89"/>
    <w:rPr>
      <w:sz w:val="18"/>
      <w:szCs w:val="18"/>
    </w:rPr>
  </w:style>
  <w:style w:type="paragraph" w:styleId="ab">
    <w:name w:val="List Paragraph"/>
    <w:basedOn w:val="a"/>
    <w:uiPriority w:val="34"/>
    <w:qFormat/>
    <w:rsid w:val="00192E89"/>
    <w:pPr>
      <w:ind w:firstLineChars="200" w:firstLine="420"/>
    </w:pPr>
  </w:style>
  <w:style w:type="character" w:customStyle="1" w:styleId="Char">
    <w:name w:val="批注文字 Char"/>
    <w:basedOn w:val="a0"/>
    <w:link w:val="a3"/>
    <w:uiPriority w:val="99"/>
    <w:semiHidden/>
    <w:qFormat/>
    <w:rsid w:val="00192E89"/>
  </w:style>
  <w:style w:type="character" w:customStyle="1" w:styleId="Char3">
    <w:name w:val="批注主题 Char"/>
    <w:basedOn w:val="Char"/>
    <w:link w:val="a7"/>
    <w:uiPriority w:val="99"/>
    <w:semiHidden/>
    <w:qFormat/>
    <w:rsid w:val="00192E89"/>
    <w:rPr>
      <w:b/>
      <w:bCs/>
    </w:rPr>
  </w:style>
  <w:style w:type="character" w:customStyle="1" w:styleId="Char0">
    <w:name w:val="批注框文本 Char"/>
    <w:basedOn w:val="a0"/>
    <w:link w:val="a4"/>
    <w:uiPriority w:val="99"/>
    <w:semiHidden/>
    <w:qFormat/>
    <w:rsid w:val="00192E89"/>
    <w:rPr>
      <w:sz w:val="18"/>
      <w:szCs w:val="18"/>
    </w:rPr>
  </w:style>
  <w:style w:type="paragraph" w:customStyle="1" w:styleId="1">
    <w:name w:val="修订1"/>
    <w:hidden/>
    <w:uiPriority w:val="99"/>
    <w:semiHidden/>
    <w:qFormat/>
    <w:rsid w:val="00192E89"/>
    <w:rPr>
      <w:rFonts w:asciiTheme="minorHAnsi" w:eastAsiaTheme="minorEastAsia" w:hAnsiTheme="minorHAnsi" w:cstheme="minorBidi"/>
      <w:kern w:val="2"/>
      <w:sz w:val="21"/>
      <w:szCs w:val="22"/>
    </w:rPr>
  </w:style>
  <w:style w:type="paragraph" w:customStyle="1" w:styleId="Default">
    <w:name w:val="Default"/>
    <w:uiPriority w:val="99"/>
    <w:unhideWhenUsed/>
    <w:qFormat/>
    <w:rsid w:val="00192E89"/>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3353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1891</Characters>
  <Application>Microsoft Office Word</Application>
  <DocSecurity>4</DocSecurity>
  <Lines>15</Lines>
  <Paragraphs>4</Paragraphs>
  <ScaleCrop>false</ScaleCrop>
  <Company>Microsoft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2023-11-29T16:01:00Z</dcterms:created>
  <dcterms:modified xsi:type="dcterms:W3CDTF">2023-11-29T16:01:00Z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37968E0458B04AC9AC85E6F2B558BB27_13</vt:lpwstr>
  </property>
</Properties>
</file>