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9F" w:rsidRDefault="005F1801">
      <w:pPr>
        <w:pStyle w:val="a7"/>
        <w:overflowPunct w:val="0"/>
        <w:autoSpaceDE w:val="0"/>
        <w:autoSpaceDN w:val="0"/>
        <w:adjustRightInd w:val="0"/>
        <w:snapToGrid w:val="0"/>
        <w:spacing w:line="560" w:lineRule="exact"/>
        <w:rPr>
          <w:rFonts w:ascii="方正小标宋_GBK" w:eastAsia="方正小标宋_GBK"/>
          <w:b w:val="0"/>
          <w:sz w:val="36"/>
          <w:szCs w:val="36"/>
        </w:rPr>
      </w:pPr>
      <w:r>
        <w:rPr>
          <w:rFonts w:ascii="方正小标宋_GBK" w:eastAsia="方正小标宋_GBK" w:hint="eastAsia"/>
          <w:b w:val="0"/>
          <w:sz w:val="36"/>
          <w:szCs w:val="36"/>
        </w:rPr>
        <w:t>英大基金管理有限公司关于增加浙江同花顺基金销售有限公司为旗下基金销售机构的公告</w:t>
      </w:r>
    </w:p>
    <w:p w:rsidR="00BB599F" w:rsidRDefault="005F1801">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方正仿宋_GBK" w:eastAsia="方正仿宋_GBK" w:hAnsiTheme="minorEastAsia" w:cs="Times New Roman" w:hint="eastAsia"/>
          <w:sz w:val="32"/>
          <w:szCs w:val="32"/>
        </w:rPr>
        <w:t>根据英大基金管理有限公司（以下简称</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本公司”）与浙江同花顺基金销售有限公司（以下简称“同花顺”）签署的基金销售代理协议及相关工作安排，</w:t>
      </w:r>
      <w:r>
        <w:rPr>
          <w:rFonts w:ascii="方正仿宋_GBK" w:eastAsia="方正仿宋_GBK" w:hAnsiTheme="minorEastAsia" w:cs="Times New Roman" w:hint="eastAsia"/>
          <w:color w:val="000000" w:themeColor="text1"/>
          <w:sz w:val="32"/>
          <w:szCs w:val="32"/>
        </w:rPr>
        <w:t>自</w:t>
      </w:r>
      <w:r>
        <w:rPr>
          <w:rFonts w:ascii="方正仿宋_GBK" w:eastAsia="方正仿宋_GBK" w:hAnsiTheme="minorEastAsia" w:cs="Times New Roman" w:hint="eastAsia"/>
          <w:color w:val="000000" w:themeColor="text1"/>
          <w:sz w:val="32"/>
          <w:szCs w:val="32"/>
        </w:rPr>
        <w:t>202</w:t>
      </w:r>
      <w:r>
        <w:rPr>
          <w:rFonts w:ascii="方正仿宋_GBK" w:eastAsia="方正仿宋_GBK" w:hAnsiTheme="minorEastAsia" w:cs="Times New Roman"/>
          <w:color w:val="000000" w:themeColor="text1"/>
          <w:sz w:val="32"/>
          <w:szCs w:val="32"/>
        </w:rPr>
        <w:t>3</w:t>
      </w:r>
      <w:r>
        <w:rPr>
          <w:rFonts w:ascii="方正仿宋_GBK" w:eastAsia="方正仿宋_GBK" w:hAnsiTheme="minorEastAsia" w:cs="Times New Roman" w:hint="eastAsia"/>
          <w:color w:val="000000" w:themeColor="text1"/>
          <w:sz w:val="32"/>
          <w:szCs w:val="32"/>
        </w:rPr>
        <w:t>年</w:t>
      </w:r>
      <w:r>
        <w:rPr>
          <w:rFonts w:ascii="方正仿宋_GBK" w:eastAsia="方正仿宋_GBK" w:hAnsiTheme="minorEastAsia" w:cs="Times New Roman" w:hint="eastAsia"/>
          <w:color w:val="000000" w:themeColor="text1"/>
          <w:sz w:val="32"/>
          <w:szCs w:val="32"/>
        </w:rPr>
        <w:t>11</w:t>
      </w:r>
      <w:r>
        <w:rPr>
          <w:rFonts w:ascii="方正仿宋_GBK" w:eastAsia="方正仿宋_GBK" w:hAnsiTheme="minorEastAsia" w:cs="Times New Roman" w:hint="eastAsia"/>
          <w:color w:val="000000" w:themeColor="text1"/>
          <w:sz w:val="32"/>
          <w:szCs w:val="32"/>
        </w:rPr>
        <w:t>月</w:t>
      </w:r>
      <w:r>
        <w:rPr>
          <w:rFonts w:ascii="方正仿宋_GBK" w:eastAsia="方正仿宋_GBK" w:hAnsiTheme="minorEastAsia" w:cs="Times New Roman" w:hint="eastAsia"/>
          <w:color w:val="000000" w:themeColor="text1"/>
          <w:sz w:val="32"/>
          <w:szCs w:val="32"/>
        </w:rPr>
        <w:t>28</w:t>
      </w:r>
      <w:r>
        <w:rPr>
          <w:rFonts w:ascii="方正仿宋_GBK" w:eastAsia="方正仿宋_GBK" w:hAnsiTheme="minorEastAsia" w:cs="Times New Roman" w:hint="eastAsia"/>
          <w:color w:val="000000" w:themeColor="text1"/>
          <w:sz w:val="32"/>
          <w:szCs w:val="32"/>
        </w:rPr>
        <w:t>日起，同花顺新</w:t>
      </w:r>
      <w:r>
        <w:rPr>
          <w:rFonts w:ascii="方正仿宋_GBK" w:eastAsia="方正仿宋_GBK" w:hAnsiTheme="minorEastAsia" w:cs="Times New Roman" w:hint="eastAsia"/>
          <w:sz w:val="32"/>
          <w:szCs w:val="32"/>
        </w:rPr>
        <w:t>增代销本公司旗下</w:t>
      </w:r>
      <w:r>
        <w:rPr>
          <w:rFonts w:ascii="方正仿宋_GBK" w:eastAsia="方正仿宋_GBK" w:hAnsiTheme="minorEastAsia" w:cs="Times New Roman" w:hint="eastAsia"/>
          <w:kern w:val="2"/>
          <w:sz w:val="32"/>
          <w:szCs w:val="32"/>
        </w:rPr>
        <w:t>基金</w:t>
      </w:r>
      <w:r>
        <w:rPr>
          <w:rFonts w:ascii="方正仿宋_GBK" w:eastAsia="方正仿宋_GBK" w:hAnsiTheme="minorEastAsia" w:cs="Times New Roman" w:hint="eastAsia"/>
          <w:sz w:val="32"/>
          <w:szCs w:val="32"/>
        </w:rPr>
        <w:t>。投资者可以通过同花顺办理开户、申购、赎回、定期定额投资、基金转换等业务。</w:t>
      </w:r>
    </w:p>
    <w:p w:rsidR="00BB599F" w:rsidRDefault="005F1801">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代理销售基金名称和代码</w:t>
      </w:r>
    </w:p>
    <w:tbl>
      <w:tblPr>
        <w:tblW w:w="8625" w:type="dxa"/>
        <w:jc w:val="center"/>
        <w:tblLayout w:type="fixed"/>
        <w:tblLook w:val="04A0"/>
      </w:tblPr>
      <w:tblGrid>
        <w:gridCol w:w="4313"/>
        <w:gridCol w:w="2737"/>
        <w:gridCol w:w="1575"/>
      </w:tblGrid>
      <w:tr w:rsidR="00BB599F">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BB599F">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00912</w:t>
            </w:r>
          </w:p>
        </w:tc>
      </w:tr>
      <w:tr w:rsidR="00BB599F">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009744</w:t>
            </w:r>
          </w:p>
        </w:tc>
      </w:tr>
      <w:tr w:rsidR="00BB599F">
        <w:trPr>
          <w:trHeight w:val="429"/>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英大安惠纯债</w:t>
            </w:r>
            <w:r>
              <w:rPr>
                <w:rFonts w:ascii="方正仿宋_GBK" w:eastAsia="方正仿宋_GBK" w:hAnsi="方正仿宋_GBK" w:cs="方正仿宋_GBK"/>
                <w:sz w:val="28"/>
                <w:szCs w:val="28"/>
              </w:rPr>
              <w:t>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英大安惠纯债</w:t>
            </w:r>
            <w:r>
              <w:rPr>
                <w:rFonts w:ascii="方正仿宋_GBK" w:eastAsia="方正仿宋_GBK" w:hAnsi="方正仿宋_GBK" w:cs="方正仿宋_GBK"/>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009298</w:t>
            </w:r>
          </w:p>
        </w:tc>
      </w:tr>
      <w:tr w:rsidR="00BB599F">
        <w:trPr>
          <w:trHeight w:val="429"/>
          <w:jc w:val="center"/>
        </w:trPr>
        <w:tc>
          <w:tcPr>
            <w:tcW w:w="4313" w:type="dxa"/>
            <w:vMerge/>
            <w:tcBorders>
              <w:left w:val="single" w:sz="4" w:space="0" w:color="auto"/>
              <w:right w:val="single" w:sz="4" w:space="0" w:color="auto"/>
            </w:tcBorders>
            <w:shd w:val="clear" w:color="auto" w:fill="auto"/>
            <w:noWrap/>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widowControl w:val="0"/>
              <w:spacing w:line="560" w:lineRule="exact"/>
              <w:jc w:val="center"/>
              <w:rPr>
                <w:rFonts w:ascii="方正仿宋_GBK" w:eastAsia="方正仿宋_GBK" w:hAnsi="方正仿宋_GBK" w:cs="方正仿宋_GBK"/>
                <w:kern w:val="2"/>
                <w:sz w:val="28"/>
                <w:szCs w:val="28"/>
              </w:rPr>
            </w:pPr>
            <w:r>
              <w:rPr>
                <w:rFonts w:ascii="方正仿宋_GBK" w:eastAsia="方正仿宋_GBK" w:hAnsi="方正仿宋_GBK" w:cs="方正仿宋_GBK"/>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009299</w:t>
            </w:r>
          </w:p>
        </w:tc>
      </w:tr>
      <w:tr w:rsidR="00BB599F">
        <w:trPr>
          <w:trHeight w:val="429"/>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widowControl w:val="0"/>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英大安惠纯债</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013543</w:t>
            </w:r>
          </w:p>
        </w:tc>
      </w:tr>
      <w:tr w:rsidR="00BB599F">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2"/>
                <w:sz w:val="28"/>
                <w:szCs w:val="28"/>
              </w:rPr>
              <w:t>英大睿盛</w:t>
            </w:r>
            <w:r>
              <w:rPr>
                <w:rFonts w:ascii="方正仿宋_GBK" w:eastAsia="方正仿宋_GBK" w:hAnsi="方正仿宋_GBK" w:cs="方正仿宋_GBK" w:hint="eastAsia"/>
                <w:kern w:val="2"/>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BB599F">
        <w:trPr>
          <w:trHeight w:val="448"/>
          <w:jc w:val="center"/>
        </w:trPr>
        <w:tc>
          <w:tcPr>
            <w:tcW w:w="4313" w:type="dxa"/>
            <w:vMerge/>
            <w:tcBorders>
              <w:top w:val="single" w:sz="4" w:space="0" w:color="auto"/>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2"/>
                <w:sz w:val="28"/>
                <w:szCs w:val="28"/>
              </w:rPr>
              <w:t>英大睿盛</w:t>
            </w:r>
            <w:r>
              <w:rPr>
                <w:rFonts w:ascii="方正仿宋_GBK" w:eastAsia="方正仿宋_GBK" w:hAnsi="方正仿宋_GBK" w:cs="方正仿宋_GBK" w:hint="eastAsia"/>
                <w:kern w:val="2"/>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2"/>
                <w:sz w:val="28"/>
                <w:szCs w:val="28"/>
              </w:rPr>
              <w:t>003714</w:t>
            </w:r>
          </w:p>
        </w:tc>
      </w:tr>
      <w:tr w:rsidR="00BB599F">
        <w:trPr>
          <w:trHeight w:val="448"/>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英大睿鑫灵活配置混合型证券投</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BB599F">
        <w:trPr>
          <w:trHeight w:val="448"/>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BB599F">
        <w:trPr>
          <w:trHeight w:val="448"/>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策略指数证券投</w:t>
            </w:r>
            <w:r>
              <w:rPr>
                <w:rFonts w:ascii="方正仿宋_GBK" w:eastAsia="方正仿宋_GBK" w:hAnsi="方正仿宋_GBK" w:cs="方正仿宋_GBK"/>
                <w:sz w:val="28"/>
                <w:szCs w:val="28"/>
              </w:rPr>
              <w:t>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 xml:space="preserve"> 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012854</w:t>
            </w:r>
          </w:p>
        </w:tc>
      </w:tr>
      <w:tr w:rsidR="00BB599F">
        <w:trPr>
          <w:trHeight w:val="448"/>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 xml:space="preserve"> 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012855</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英大中证同业存单</w:t>
            </w:r>
            <w:r>
              <w:rPr>
                <w:rFonts w:ascii="方正仿宋_GBK" w:eastAsia="方正仿宋_GBK" w:hAnsi="方正仿宋_GBK" w:cs="方正仿宋_GBK"/>
                <w:sz w:val="28"/>
                <w:szCs w:val="28"/>
              </w:rPr>
              <w:t>AAA</w:t>
            </w:r>
            <w:r>
              <w:rPr>
                <w:rFonts w:ascii="方正仿宋_GBK" w:eastAsia="方正仿宋_GBK" w:hAnsi="方正仿宋_GBK" w:cs="方正仿宋_GBK"/>
                <w:sz w:val="28"/>
                <w:szCs w:val="28"/>
              </w:rPr>
              <w:t>指数</w:t>
            </w:r>
            <w:r>
              <w:rPr>
                <w:rFonts w:ascii="方正仿宋_GBK" w:eastAsia="方正仿宋_GBK" w:hAnsi="方正仿宋_GBK" w:cs="方正仿宋_GBK"/>
                <w:sz w:val="28"/>
                <w:szCs w:val="28"/>
              </w:rPr>
              <w:t>7</w:t>
            </w:r>
            <w:r>
              <w:rPr>
                <w:rFonts w:ascii="方正仿宋_GBK" w:eastAsia="方正仿宋_GBK" w:hAnsi="方正仿宋_GBK" w:cs="方正仿宋_GBK"/>
                <w:sz w:val="28"/>
                <w:szCs w:val="28"/>
              </w:rPr>
              <w:t>天持有期证券投资基金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英大中证</w:t>
            </w:r>
            <w:r>
              <w:rPr>
                <w:rFonts w:ascii="方正仿宋_GBK" w:eastAsia="方正仿宋_GBK" w:hAnsi="方正仿宋_GBK" w:cs="方正仿宋_GBK"/>
                <w:sz w:val="28"/>
                <w:szCs w:val="28"/>
              </w:rPr>
              <w:t>同业存单</w:t>
            </w:r>
            <w:r>
              <w:rPr>
                <w:rFonts w:ascii="方正仿宋_GBK" w:eastAsia="方正仿宋_GBK" w:hAnsi="方正仿宋_GBK" w:cs="方正仿宋_GBK"/>
                <w:sz w:val="28"/>
                <w:szCs w:val="28"/>
              </w:rPr>
              <w:t>AAA</w:t>
            </w:r>
            <w:r>
              <w:rPr>
                <w:rFonts w:ascii="方正仿宋_GBK" w:eastAsia="方正仿宋_GBK" w:hAnsi="方正仿宋_GBK" w:cs="方正仿宋_GBK"/>
                <w:sz w:val="28"/>
                <w:szCs w:val="28"/>
              </w:rPr>
              <w:t>指数</w:t>
            </w:r>
            <w:r>
              <w:rPr>
                <w:rFonts w:ascii="方正仿宋_GBK" w:eastAsia="方正仿宋_GBK" w:hAnsi="方正仿宋_GBK" w:cs="方正仿宋_GBK"/>
                <w:sz w:val="28"/>
                <w:szCs w:val="28"/>
              </w:rPr>
              <w:t>7</w:t>
            </w:r>
            <w:r>
              <w:rPr>
                <w:rFonts w:ascii="方正仿宋_GBK" w:eastAsia="方正仿宋_GBK" w:hAnsi="方正仿宋_GBK" w:cs="方正仿宋_GBK"/>
                <w:sz w:val="28"/>
                <w:szCs w:val="28"/>
              </w:rPr>
              <w:t>天持有</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16066</w:t>
            </w:r>
          </w:p>
        </w:tc>
      </w:tr>
      <w:tr w:rsidR="00BB599F">
        <w:trPr>
          <w:trHeight w:val="448"/>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英大智享债券型证券投资基金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010174</w:t>
            </w:r>
          </w:p>
        </w:tc>
      </w:tr>
      <w:tr w:rsidR="00BB599F">
        <w:trPr>
          <w:trHeight w:val="448"/>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010175</w:t>
            </w:r>
          </w:p>
        </w:tc>
      </w:tr>
      <w:tr w:rsidR="00BB599F">
        <w:trPr>
          <w:trHeight w:val="429"/>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英大安盈</w:t>
            </w:r>
            <w:r>
              <w:rPr>
                <w:rFonts w:ascii="方正仿宋_GBK" w:eastAsia="方正仿宋_GBK" w:hAnsi="方正仿宋_GBK" w:cs="方正仿宋_GBK"/>
                <w:sz w:val="28"/>
                <w:szCs w:val="28"/>
              </w:rPr>
              <w:t>30</w:t>
            </w:r>
            <w:r>
              <w:rPr>
                <w:rFonts w:ascii="方正仿宋_GBK" w:eastAsia="方正仿宋_GBK" w:hAnsi="方正仿宋_GBK" w:cs="方正仿宋_GBK"/>
                <w:sz w:val="28"/>
                <w:szCs w:val="28"/>
              </w:rPr>
              <w:t>天滚动持有债券型发起式证券投资基金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英大安盈</w:t>
            </w:r>
            <w:r>
              <w:rPr>
                <w:rFonts w:ascii="方正仿宋_GBK" w:eastAsia="方正仿宋_GBK" w:hAnsi="方正仿宋_GBK" w:cs="方正仿宋_GBK"/>
                <w:sz w:val="28"/>
                <w:szCs w:val="28"/>
              </w:rPr>
              <w:t>30</w:t>
            </w:r>
            <w:r>
              <w:rPr>
                <w:rFonts w:ascii="方正仿宋_GBK" w:eastAsia="方正仿宋_GBK" w:hAnsi="方正仿宋_GBK" w:cs="方正仿宋_GBK"/>
                <w:sz w:val="28"/>
                <w:szCs w:val="28"/>
              </w:rPr>
              <w:t>天滚动持有债券发起</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014511 </w:t>
            </w:r>
          </w:p>
        </w:tc>
      </w:tr>
      <w:tr w:rsidR="00BB599F">
        <w:trPr>
          <w:trHeight w:val="429"/>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英大安盈</w:t>
            </w:r>
            <w:r>
              <w:rPr>
                <w:rFonts w:ascii="方正仿宋_GBK" w:eastAsia="方正仿宋_GBK" w:hAnsi="方正仿宋_GBK" w:cs="方正仿宋_GBK"/>
                <w:sz w:val="28"/>
                <w:szCs w:val="28"/>
              </w:rPr>
              <w:t>30</w:t>
            </w:r>
            <w:r>
              <w:rPr>
                <w:rFonts w:ascii="方正仿宋_GBK" w:eastAsia="方正仿宋_GBK" w:hAnsi="方正仿宋_GBK" w:cs="方正仿宋_GBK"/>
                <w:sz w:val="28"/>
                <w:szCs w:val="28"/>
              </w:rPr>
              <w:t>天滚动</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持有债券发起</w:t>
            </w:r>
            <w:r>
              <w:rPr>
                <w:rFonts w:ascii="方正仿宋_GBK" w:eastAsia="方正仿宋_GBK" w:hAnsi="方正仿宋_GBK" w:cs="方正仿宋_GBK"/>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014512</w:t>
            </w:r>
          </w:p>
        </w:tc>
      </w:tr>
      <w:tr w:rsidR="00BB599F">
        <w:trPr>
          <w:trHeight w:val="429"/>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英大安益中短债债券型证券投资</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015274</w:t>
            </w:r>
          </w:p>
        </w:tc>
      </w:tr>
      <w:tr w:rsidR="00BB599F">
        <w:trPr>
          <w:trHeight w:val="429"/>
          <w:jc w:val="center"/>
        </w:trPr>
        <w:tc>
          <w:tcPr>
            <w:tcW w:w="4313" w:type="dxa"/>
            <w:vMerge/>
            <w:tcBorders>
              <w:left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015275</w:t>
            </w:r>
          </w:p>
        </w:tc>
      </w:tr>
      <w:tr w:rsidR="00BB599F">
        <w:trPr>
          <w:trHeight w:val="429"/>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英大策略优选混合型证券投资基</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英大策略优选</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001607</w:t>
            </w:r>
          </w:p>
        </w:tc>
      </w:tr>
      <w:tr w:rsidR="00BB599F">
        <w:trPr>
          <w:trHeight w:val="429"/>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英大策略优选</w:t>
            </w:r>
            <w:r>
              <w:rPr>
                <w:rFonts w:ascii="方正仿宋_GBK" w:eastAsia="方正仿宋_GBK" w:hAnsi="方正仿宋_GBK" w:cs="方正仿宋_GBK" w:hint="eastAsia"/>
                <w:sz w:val="28"/>
                <w:szCs w:val="28"/>
              </w:rPr>
              <w:t>C</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001608</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英大领先回报混合型发起式证券</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00458</w:t>
            </w:r>
          </w:p>
        </w:tc>
      </w:tr>
      <w:tr w:rsidR="00BB599F">
        <w:trPr>
          <w:trHeight w:val="448"/>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08242</w:t>
            </w:r>
          </w:p>
        </w:tc>
      </w:tr>
      <w:tr w:rsidR="00BB599F">
        <w:trPr>
          <w:trHeight w:val="448"/>
          <w:jc w:val="center"/>
        </w:trPr>
        <w:tc>
          <w:tcPr>
            <w:tcW w:w="4313" w:type="dxa"/>
            <w:vMerge/>
            <w:tcBorders>
              <w:left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w:t>
            </w:r>
            <w:r>
              <w:rPr>
                <w:rFonts w:ascii="方正仿宋_GBK" w:eastAsia="方正仿宋_GBK" w:hAnsi="方正仿宋_GBK" w:cs="方正仿宋_GBK"/>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08243</w:t>
            </w:r>
          </w:p>
        </w:tc>
      </w:tr>
      <w:tr w:rsidR="00BB599F">
        <w:trPr>
          <w:trHeight w:val="448"/>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英大通盈纯债债券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012381</w:t>
            </w:r>
          </w:p>
        </w:tc>
      </w:tr>
      <w:tr w:rsidR="00BB599F">
        <w:trPr>
          <w:trHeight w:val="429"/>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英大安悦纯债债券型证券投资基</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英大安悦纯债债券</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015620</w:t>
            </w:r>
          </w:p>
        </w:tc>
      </w:tr>
      <w:tr w:rsidR="00BB599F">
        <w:trPr>
          <w:trHeight w:val="429"/>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英大安悦纯债债券</w:t>
            </w:r>
            <w:r>
              <w:rPr>
                <w:rFonts w:ascii="方正仿宋_GBK" w:eastAsia="方正仿宋_GBK" w:hAnsi="方正仿宋_GBK" w:cs="方正仿宋_GBK" w:hint="eastAsia"/>
                <w:sz w:val="28"/>
                <w:szCs w:val="28"/>
              </w:rPr>
              <w:t>C</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015621</w:t>
            </w:r>
          </w:p>
        </w:tc>
      </w:tr>
      <w:tr w:rsidR="00BB599F">
        <w:trPr>
          <w:trHeight w:val="215"/>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英大纯债债券</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650001 </w:t>
            </w:r>
          </w:p>
        </w:tc>
      </w:tr>
      <w:tr w:rsidR="00BB599F">
        <w:trPr>
          <w:trHeight w:val="214"/>
          <w:jc w:val="center"/>
        </w:trPr>
        <w:tc>
          <w:tcPr>
            <w:tcW w:w="4313" w:type="dxa"/>
            <w:vMerge/>
            <w:tcBorders>
              <w:left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英大纯债债券</w:t>
            </w:r>
            <w:r>
              <w:rPr>
                <w:rFonts w:ascii="方正仿宋_GBK" w:eastAsia="方正仿宋_GBK" w:hAnsi="方正仿宋_GBK" w:cs="方正仿宋_GBK"/>
                <w:sz w:val="28"/>
                <w:szCs w:val="28"/>
              </w:rPr>
              <w:t xml:space="preserve">C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650002</w:t>
            </w:r>
          </w:p>
        </w:tc>
      </w:tr>
      <w:tr w:rsidR="00BB599F">
        <w:trPr>
          <w:trHeight w:val="214"/>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013587</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英大安鑫</w:t>
            </w:r>
            <w:r>
              <w:rPr>
                <w:rFonts w:ascii="方正仿宋_GBK" w:eastAsia="方正仿宋_GBK" w:hAnsi="方正仿宋_GBK" w:cs="方正仿宋_GBK"/>
                <w:sz w:val="28"/>
                <w:szCs w:val="28"/>
              </w:rPr>
              <w:t>66</w:t>
            </w:r>
            <w:r>
              <w:rPr>
                <w:rFonts w:ascii="方正仿宋_GBK" w:eastAsia="方正仿宋_GBK" w:hAnsi="方正仿宋_GBK" w:cs="方正仿宋_GBK"/>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英大安鑫</w:t>
            </w:r>
            <w:r>
              <w:rPr>
                <w:rFonts w:ascii="方正仿宋_GBK" w:eastAsia="方正仿宋_GBK" w:hAnsi="方正仿宋_GBK" w:cs="方正仿宋_GBK"/>
                <w:sz w:val="28"/>
                <w:szCs w:val="28"/>
              </w:rPr>
              <w:t>66</w:t>
            </w:r>
            <w:r>
              <w:rPr>
                <w:rFonts w:ascii="方正仿宋_GBK" w:eastAsia="方正仿宋_GBK" w:hAnsi="方正仿宋_GBK" w:cs="方正仿宋_GBK"/>
                <w:sz w:val="28"/>
                <w:szCs w:val="28"/>
              </w:rPr>
              <w:t>个月定期开放债券</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009770</w:t>
            </w:r>
          </w:p>
        </w:tc>
      </w:tr>
      <w:tr w:rsidR="00BB599F">
        <w:trPr>
          <w:trHeight w:val="448"/>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英大灵活配置混合型发起式证券投资基金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001270</w:t>
            </w:r>
          </w:p>
        </w:tc>
      </w:tr>
      <w:tr w:rsidR="00BB599F">
        <w:trPr>
          <w:trHeight w:val="448"/>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001271</w:t>
            </w:r>
          </w:p>
        </w:tc>
      </w:tr>
      <w:tr w:rsidR="00BB599F">
        <w:trPr>
          <w:trHeight w:val="429"/>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英大通惠多利债券型证券投资基</w:t>
            </w:r>
            <w:r>
              <w:rPr>
                <w:rFonts w:ascii="方正仿宋_GBK" w:eastAsia="方正仿宋_GBK" w:hAnsi="方正仿宋_GBK" w:cs="方正仿宋_GBK"/>
                <w:sz w:val="28"/>
                <w:szCs w:val="28"/>
              </w:rPr>
              <w:t xml:space="preserve"> </w:t>
            </w: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英大通惠多利债券</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012352 </w:t>
            </w:r>
          </w:p>
        </w:tc>
      </w:tr>
      <w:tr w:rsidR="00BB599F">
        <w:trPr>
          <w:trHeight w:val="429"/>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英大通惠多利债券</w:t>
            </w:r>
            <w:r>
              <w:rPr>
                <w:rFonts w:ascii="方正仿宋_GBK" w:eastAsia="方正仿宋_GBK" w:hAnsi="方正仿宋_GBK" w:cs="方正仿宋_GBK"/>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012353</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英大国企改革主题股票型证券投</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英大国企改革</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001678</w:t>
            </w:r>
          </w:p>
        </w:tc>
      </w:tr>
      <w:tr w:rsidR="00BB599F">
        <w:trPr>
          <w:trHeight w:val="429"/>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英大稳固增强核心一年持有期混</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合型证券投资基金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英大稳固增强核心一</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年持有混合</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012521</w:t>
            </w:r>
          </w:p>
        </w:tc>
      </w:tr>
      <w:tr w:rsidR="00BB599F">
        <w:trPr>
          <w:trHeight w:val="429"/>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英大稳固增强核心一</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年持有混合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012522</w:t>
            </w:r>
          </w:p>
        </w:tc>
      </w:tr>
      <w:tr w:rsidR="00BB599F">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015724</w:t>
            </w:r>
          </w:p>
        </w:tc>
      </w:tr>
      <w:tr w:rsidR="00BB599F">
        <w:trPr>
          <w:trHeight w:val="448"/>
          <w:jc w:val="center"/>
        </w:trPr>
        <w:tc>
          <w:tcPr>
            <w:tcW w:w="4313" w:type="dxa"/>
            <w:vMerge/>
            <w:tcBorders>
              <w:top w:val="single" w:sz="4" w:space="0" w:color="auto"/>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015725</w:t>
            </w:r>
          </w:p>
        </w:tc>
      </w:tr>
      <w:tr w:rsidR="00BB599F">
        <w:trPr>
          <w:trHeight w:val="448"/>
          <w:jc w:val="center"/>
        </w:trPr>
        <w:tc>
          <w:tcPr>
            <w:tcW w:w="4313" w:type="dxa"/>
            <w:vMerge w:val="restart"/>
            <w:tcBorders>
              <w:top w:val="single" w:sz="4" w:space="0" w:color="auto"/>
              <w:left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英大安旸纯债债券型证券投资基</w:t>
            </w:r>
            <w:r>
              <w:rPr>
                <w:rFonts w:ascii="方正仿宋_GBK" w:eastAsia="方正仿宋_GBK" w:hAnsi="方正仿宋_GBK" w:cs="方正仿宋_GBK"/>
                <w:sz w:val="28"/>
                <w:szCs w:val="28"/>
              </w:rPr>
              <w:t xml:space="preserve"> </w:t>
            </w:r>
          </w:p>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sz w:val="28"/>
                <w:szCs w:val="28"/>
              </w:rPr>
              <w:t>英大安旸纯债债券</w:t>
            </w:r>
            <w:r>
              <w:rPr>
                <w:rFonts w:ascii="方正仿宋_GBK" w:eastAsia="方正仿宋_GBK" w:hAnsi="方正仿宋_GBK" w:cs="方正仿宋_GBK"/>
                <w:sz w:val="28"/>
                <w:szCs w:val="28"/>
              </w:rPr>
              <w:t xml:space="preserve">A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w:t>
            </w:r>
            <w:r>
              <w:rPr>
                <w:rFonts w:ascii="方正仿宋_GBK" w:eastAsia="方正仿宋_GBK" w:hAnsi="方正仿宋_GBK" w:cs="方正仿宋_GBK"/>
                <w:color w:val="353535"/>
                <w:sz w:val="28"/>
                <w:szCs w:val="28"/>
                <w:shd w:val="clear" w:color="auto" w:fill="FFFFFF"/>
              </w:rPr>
              <w:t>17440</w:t>
            </w:r>
          </w:p>
        </w:tc>
      </w:tr>
      <w:tr w:rsidR="00BB599F">
        <w:trPr>
          <w:trHeight w:val="448"/>
          <w:jc w:val="center"/>
        </w:trPr>
        <w:tc>
          <w:tcPr>
            <w:tcW w:w="4313" w:type="dxa"/>
            <w:vMerge/>
            <w:tcBorders>
              <w:left w:val="single" w:sz="4" w:space="0" w:color="auto"/>
              <w:bottom w:val="single" w:sz="4" w:space="0" w:color="auto"/>
              <w:right w:val="single" w:sz="4" w:space="0" w:color="auto"/>
            </w:tcBorders>
            <w:vAlign w:val="center"/>
          </w:tcPr>
          <w:p w:rsidR="00BB599F" w:rsidRDefault="00BB599F">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sz w:val="28"/>
                <w:szCs w:val="28"/>
              </w:rPr>
              <w:t>英大安旸纯债债券</w:t>
            </w:r>
            <w:r>
              <w:rPr>
                <w:rFonts w:ascii="方正仿宋_GBK" w:eastAsia="方正仿宋_GBK" w:hAnsi="方正仿宋_GBK" w:cs="方正仿宋_GBK" w:hint="eastAsia"/>
                <w:sz w:val="28"/>
                <w:szCs w:val="28"/>
              </w:rPr>
              <w:t>C</w:t>
            </w:r>
            <w:r>
              <w:rPr>
                <w:rFonts w:ascii="方正仿宋_GBK" w:eastAsia="方正仿宋_GBK" w:hAnsi="方正仿宋_GBK" w:cs="方正仿宋_GBK"/>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w:t>
            </w:r>
            <w:r>
              <w:rPr>
                <w:rFonts w:ascii="方正仿宋_GBK" w:eastAsia="方正仿宋_GBK" w:hAnsi="方正仿宋_GBK" w:cs="方正仿宋_GBK"/>
                <w:color w:val="353535"/>
                <w:sz w:val="28"/>
                <w:szCs w:val="28"/>
                <w:shd w:val="clear" w:color="auto" w:fill="FFFFFF"/>
              </w:rPr>
              <w:t>17441</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英大通佑纯债一年定期开放债券型证券投资基金</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sz w:val="28"/>
                <w:szCs w:val="28"/>
              </w:rPr>
              <w:t>英大通佑一年定开债</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color w:val="353535"/>
                <w:sz w:val="28"/>
                <w:szCs w:val="28"/>
                <w:shd w:val="clear" w:color="auto" w:fill="FFFFFF"/>
              </w:rPr>
            </w:pPr>
            <w:r>
              <w:rPr>
                <w:rFonts w:ascii="方正仿宋_GBK" w:eastAsia="方正仿宋_GBK" w:hAnsi="方正仿宋_GBK" w:cs="方正仿宋_GBK" w:hint="eastAsia"/>
                <w:color w:val="353535"/>
                <w:sz w:val="28"/>
                <w:szCs w:val="28"/>
                <w:shd w:val="clear" w:color="auto" w:fill="FFFFFF"/>
              </w:rPr>
              <w:t>0</w:t>
            </w:r>
            <w:r>
              <w:rPr>
                <w:rFonts w:ascii="方正仿宋_GBK" w:eastAsia="方正仿宋_GBK" w:hAnsi="方正仿宋_GBK" w:cs="方正仿宋_GBK"/>
                <w:color w:val="353535"/>
                <w:sz w:val="28"/>
                <w:szCs w:val="28"/>
                <w:shd w:val="clear" w:color="auto" w:fill="FFFFFF"/>
              </w:rPr>
              <w:t>16296</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hint="eastAsia"/>
                <w:sz w:val="28"/>
                <w:szCs w:val="28"/>
              </w:rPr>
              <w:t>日期</w:t>
            </w:r>
            <w:r>
              <w:rPr>
                <w:rFonts w:ascii="方正仿宋_GBK" w:eastAsia="方正仿宋_GBK" w:hAnsi="方正仿宋_GBK" w:cs="方正仿宋_GBK"/>
                <w:sz w:val="28"/>
                <w:szCs w:val="28"/>
              </w:rPr>
              <w:t>2040</w:t>
            </w:r>
            <w:r>
              <w:rPr>
                <w:rFonts w:ascii="方正仿宋_GBK" w:eastAsia="方正仿宋_GBK" w:hAnsi="方正仿宋_GBK" w:cs="方正仿宋_GBK"/>
                <w:sz w:val="28"/>
                <w:szCs w:val="28"/>
              </w:rPr>
              <w:t>三年持有</w:t>
            </w:r>
            <w:r>
              <w:rPr>
                <w:rFonts w:ascii="方正仿宋_GBK" w:eastAsia="方正仿宋_GBK" w:hAnsi="方正仿宋_GBK" w:cs="方正仿宋_GBK" w:hint="eastAsia"/>
                <w:sz w:val="28"/>
                <w:szCs w:val="28"/>
              </w:rPr>
              <w:t>期</w:t>
            </w:r>
            <w:r>
              <w:rPr>
                <w:rFonts w:ascii="方正仿宋_GBK" w:eastAsia="方正仿宋_GBK" w:hAnsi="方正仿宋_GBK" w:cs="方正仿宋_GBK"/>
                <w:sz w:val="28"/>
                <w:szCs w:val="28"/>
              </w:rPr>
              <w:t>混合</w:t>
            </w:r>
            <w:r>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sz w:val="28"/>
                <w:szCs w:val="28"/>
              </w:rPr>
              <w:t>2040</w:t>
            </w:r>
            <w:r>
              <w:rPr>
                <w:rFonts w:ascii="方正仿宋_GBK" w:eastAsia="方正仿宋_GBK" w:hAnsi="方正仿宋_GBK" w:cs="方正仿宋_GBK"/>
                <w:sz w:val="28"/>
                <w:szCs w:val="28"/>
              </w:rPr>
              <w:t>三年持有混合发起</w:t>
            </w:r>
            <w:r>
              <w:rPr>
                <w:rFonts w:ascii="方正仿宋_GBK" w:eastAsia="方正仿宋_GBK" w:hAnsi="方正仿宋_GBK" w:cs="方正仿宋_GBK"/>
                <w:sz w:val="28"/>
                <w:szCs w:val="28"/>
              </w:rPr>
              <w:t>(FOF)</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16666</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hint="eastAsia"/>
                <w:sz w:val="28"/>
                <w:szCs w:val="28"/>
              </w:rPr>
              <w:t>日期</w:t>
            </w:r>
            <w:r>
              <w:rPr>
                <w:rFonts w:ascii="方正仿宋_GBK" w:eastAsia="方正仿宋_GBK" w:hAnsi="方正仿宋_GBK" w:cs="方正仿宋_GBK"/>
                <w:sz w:val="28"/>
                <w:szCs w:val="28"/>
              </w:rPr>
              <w:t>2055</w:t>
            </w:r>
            <w:r>
              <w:rPr>
                <w:rFonts w:ascii="方正仿宋_GBK" w:eastAsia="方正仿宋_GBK" w:hAnsi="方正仿宋_GBK" w:cs="方正仿宋_GBK"/>
                <w:sz w:val="28"/>
                <w:szCs w:val="28"/>
              </w:rPr>
              <w:t>三年持有</w:t>
            </w:r>
            <w:r>
              <w:rPr>
                <w:rFonts w:ascii="方正仿宋_GBK" w:eastAsia="方正仿宋_GBK" w:hAnsi="方正仿宋_GBK" w:cs="方正仿宋_GBK" w:hint="eastAsia"/>
                <w:sz w:val="28"/>
                <w:szCs w:val="28"/>
              </w:rPr>
              <w:t>期</w:t>
            </w:r>
            <w:r>
              <w:rPr>
                <w:rFonts w:ascii="方正仿宋_GBK" w:eastAsia="方正仿宋_GBK" w:hAnsi="方正仿宋_GBK" w:cs="方正仿宋_GBK"/>
                <w:sz w:val="28"/>
                <w:szCs w:val="28"/>
              </w:rPr>
              <w:t>混合</w:t>
            </w:r>
            <w:r>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sz w:val="28"/>
                <w:szCs w:val="28"/>
              </w:rPr>
              <w:t>2055</w:t>
            </w:r>
            <w:r>
              <w:rPr>
                <w:rFonts w:ascii="方正仿宋_GBK" w:eastAsia="方正仿宋_GBK" w:hAnsi="方正仿宋_GBK" w:cs="方正仿宋_GBK"/>
                <w:sz w:val="28"/>
                <w:szCs w:val="28"/>
              </w:rPr>
              <w:t>三年持有混合发起</w:t>
            </w:r>
            <w:r>
              <w:rPr>
                <w:rFonts w:ascii="方正仿宋_GBK" w:eastAsia="方正仿宋_GBK" w:hAnsi="方正仿宋_GBK" w:cs="方正仿宋_GBK"/>
                <w:sz w:val="28"/>
                <w:szCs w:val="28"/>
              </w:rPr>
              <w:t>(FOF)</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16922</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hint="eastAsia"/>
                <w:sz w:val="28"/>
                <w:szCs w:val="28"/>
              </w:rPr>
              <w:t>日期</w:t>
            </w:r>
            <w:r>
              <w:rPr>
                <w:rFonts w:ascii="方正仿宋_GBK" w:eastAsia="方正仿宋_GBK" w:hAnsi="方正仿宋_GBK" w:cs="方正仿宋_GBK"/>
                <w:sz w:val="28"/>
                <w:szCs w:val="28"/>
              </w:rPr>
              <w:t>2035</w:t>
            </w:r>
            <w:r>
              <w:rPr>
                <w:rFonts w:ascii="方正仿宋_GBK" w:eastAsia="方正仿宋_GBK" w:hAnsi="方正仿宋_GBK" w:cs="方正仿宋_GBK"/>
                <w:sz w:val="28"/>
                <w:szCs w:val="28"/>
              </w:rPr>
              <w:t>三年持有</w:t>
            </w:r>
            <w:r>
              <w:rPr>
                <w:rFonts w:ascii="方正仿宋_GBK" w:eastAsia="方正仿宋_GBK" w:hAnsi="方正仿宋_GBK" w:cs="方正仿宋_GBK" w:hint="eastAsia"/>
                <w:sz w:val="28"/>
                <w:szCs w:val="28"/>
              </w:rPr>
              <w:t>期</w:t>
            </w:r>
            <w:r>
              <w:rPr>
                <w:rFonts w:ascii="方正仿宋_GBK" w:eastAsia="方正仿宋_GBK" w:hAnsi="方正仿宋_GBK" w:cs="方正仿宋_GBK"/>
                <w:sz w:val="28"/>
                <w:szCs w:val="28"/>
              </w:rPr>
              <w:t>混合</w:t>
            </w:r>
            <w:r>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sz w:val="28"/>
                <w:szCs w:val="28"/>
              </w:rPr>
              <w:t>2035</w:t>
            </w:r>
            <w:r>
              <w:rPr>
                <w:rFonts w:ascii="方正仿宋_GBK" w:eastAsia="方正仿宋_GBK" w:hAnsi="方正仿宋_GBK" w:cs="方正仿宋_GBK"/>
                <w:sz w:val="28"/>
                <w:szCs w:val="28"/>
              </w:rPr>
              <w:t>三年持有混合发起</w:t>
            </w:r>
            <w:r>
              <w:rPr>
                <w:rFonts w:ascii="方正仿宋_GBK" w:eastAsia="方正仿宋_GBK" w:hAnsi="方正仿宋_GBK" w:cs="方正仿宋_GBK"/>
                <w:sz w:val="28"/>
                <w:szCs w:val="28"/>
              </w:rPr>
              <w:t>(FOF)</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16985</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hint="eastAsia"/>
                <w:sz w:val="28"/>
                <w:szCs w:val="28"/>
              </w:rPr>
              <w:t>日期</w:t>
            </w:r>
            <w:r>
              <w:rPr>
                <w:rFonts w:ascii="方正仿宋_GBK" w:eastAsia="方正仿宋_GBK" w:hAnsi="方正仿宋_GBK" w:cs="方正仿宋_GBK"/>
                <w:sz w:val="28"/>
                <w:szCs w:val="28"/>
              </w:rPr>
              <w:t>2060</w:t>
            </w:r>
            <w:r>
              <w:rPr>
                <w:rFonts w:ascii="方正仿宋_GBK" w:eastAsia="方正仿宋_GBK" w:hAnsi="方正仿宋_GBK" w:cs="方正仿宋_GBK"/>
                <w:sz w:val="28"/>
                <w:szCs w:val="28"/>
              </w:rPr>
              <w:t>三年持有</w:t>
            </w:r>
            <w:r>
              <w:rPr>
                <w:rFonts w:ascii="方正仿宋_GBK" w:eastAsia="方正仿宋_GBK" w:hAnsi="方正仿宋_GBK" w:cs="方正仿宋_GBK" w:hint="eastAsia"/>
                <w:sz w:val="28"/>
                <w:szCs w:val="28"/>
              </w:rPr>
              <w:t>期</w:t>
            </w:r>
            <w:r>
              <w:rPr>
                <w:rFonts w:ascii="方正仿宋_GBK" w:eastAsia="方正仿宋_GBK" w:hAnsi="方正仿宋_GBK" w:cs="方正仿宋_GBK"/>
                <w:sz w:val="28"/>
                <w:szCs w:val="28"/>
              </w:rPr>
              <w:t>混合</w:t>
            </w:r>
            <w:r>
              <w:rPr>
                <w:rFonts w:ascii="方正仿宋_GBK" w:eastAsia="方正仿宋_GBK" w:hAnsi="方正仿宋_GBK" w:cs="方正仿宋_GBK" w:hint="eastAsia"/>
                <w:sz w:val="28"/>
                <w:szCs w:val="28"/>
              </w:rPr>
              <w:t>型发起式基金中</w:t>
            </w:r>
            <w:r>
              <w:rPr>
                <w:rFonts w:ascii="方正仿宋_GBK" w:eastAsia="方正仿宋_GBK" w:hAnsi="方正仿宋_GBK" w:cs="方正仿宋_GBK"/>
                <w:sz w:val="28"/>
                <w:szCs w:val="28"/>
              </w:rPr>
              <w:t>基金</w:t>
            </w:r>
            <w:r>
              <w:rPr>
                <w:rFonts w:ascii="方正仿宋_GBK" w:eastAsia="方正仿宋_GBK" w:hAnsi="方正仿宋_GBK" w:cs="方正仿宋_GBK"/>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sz w:val="28"/>
                <w:szCs w:val="28"/>
              </w:rPr>
              <w:t>2060</w:t>
            </w:r>
            <w:r>
              <w:rPr>
                <w:rFonts w:ascii="方正仿宋_GBK" w:eastAsia="方正仿宋_GBK" w:hAnsi="方正仿宋_GBK" w:cs="方正仿宋_GBK"/>
                <w:sz w:val="28"/>
                <w:szCs w:val="28"/>
              </w:rPr>
              <w:t>三年持有混合发起</w:t>
            </w:r>
            <w:r>
              <w:rPr>
                <w:rFonts w:ascii="方正仿宋_GBK" w:eastAsia="方正仿宋_GBK" w:hAnsi="方正仿宋_GBK" w:cs="方正仿宋_GBK"/>
                <w:sz w:val="28"/>
                <w:szCs w:val="28"/>
              </w:rPr>
              <w:t>(FOF)</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017164</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2045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sz w:val="28"/>
                <w:szCs w:val="28"/>
              </w:rPr>
              <w:t>20</w:t>
            </w:r>
            <w:r>
              <w:rPr>
                <w:rFonts w:ascii="方正仿宋_GBK" w:eastAsia="方正仿宋_GBK" w:hAnsi="方正仿宋_GBK" w:cs="方正仿宋_GBK" w:hint="eastAsia"/>
                <w:sz w:val="28"/>
                <w:szCs w:val="28"/>
              </w:rPr>
              <w:t>45</w:t>
            </w:r>
            <w:r>
              <w:rPr>
                <w:rFonts w:ascii="方正仿宋_GBK" w:eastAsia="方正仿宋_GBK" w:hAnsi="方正仿宋_GBK" w:cs="方正仿宋_GBK"/>
                <w:sz w:val="28"/>
                <w:szCs w:val="28"/>
              </w:rPr>
              <w:t>三年持有混合发起</w:t>
            </w:r>
            <w:r>
              <w:rPr>
                <w:rFonts w:ascii="方正仿宋_GBK" w:eastAsia="方正仿宋_GBK" w:hAnsi="方正仿宋_GBK" w:cs="方正仿宋_GBK"/>
                <w:sz w:val="28"/>
                <w:szCs w:val="28"/>
              </w:rPr>
              <w:t>(FOF)</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017396</w:t>
            </w:r>
          </w:p>
        </w:tc>
      </w:tr>
      <w:tr w:rsidR="00BB599F">
        <w:trPr>
          <w:trHeight w:val="448"/>
          <w:jc w:val="center"/>
        </w:trPr>
        <w:tc>
          <w:tcPr>
            <w:tcW w:w="4313"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2050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p>
        </w:tc>
        <w:tc>
          <w:tcPr>
            <w:tcW w:w="2737"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英大延福养老目标</w:t>
            </w:r>
            <w:r>
              <w:rPr>
                <w:rFonts w:ascii="方正仿宋_GBK" w:eastAsia="方正仿宋_GBK" w:hAnsi="方正仿宋_GBK" w:cs="方正仿宋_GBK"/>
                <w:sz w:val="28"/>
                <w:szCs w:val="28"/>
              </w:rPr>
              <w:t>20</w:t>
            </w:r>
            <w:r>
              <w:rPr>
                <w:rFonts w:ascii="方正仿宋_GBK" w:eastAsia="方正仿宋_GBK" w:hAnsi="方正仿宋_GBK" w:cs="方正仿宋_GBK" w:hint="eastAsia"/>
                <w:sz w:val="28"/>
                <w:szCs w:val="28"/>
              </w:rPr>
              <w:t>5</w:t>
            </w:r>
            <w:r>
              <w:rPr>
                <w:rFonts w:ascii="方正仿宋_GBK" w:eastAsia="方正仿宋_GBK" w:hAnsi="方正仿宋_GBK" w:cs="方正仿宋_GBK"/>
                <w:sz w:val="28"/>
                <w:szCs w:val="28"/>
              </w:rPr>
              <w:t>0</w:t>
            </w:r>
            <w:r>
              <w:rPr>
                <w:rFonts w:ascii="方正仿宋_GBK" w:eastAsia="方正仿宋_GBK" w:hAnsi="方正仿宋_GBK" w:cs="方正仿宋_GBK"/>
                <w:sz w:val="28"/>
                <w:szCs w:val="28"/>
              </w:rPr>
              <w:t>三年持有混合发起</w:t>
            </w:r>
            <w:r>
              <w:rPr>
                <w:rFonts w:ascii="方正仿宋_GBK" w:eastAsia="方正仿宋_GBK" w:hAnsi="方正仿宋_GBK" w:cs="方正仿宋_GBK"/>
                <w:sz w:val="28"/>
                <w:szCs w:val="28"/>
              </w:rPr>
              <w:t>(FOF)</w:t>
            </w:r>
          </w:p>
        </w:tc>
        <w:tc>
          <w:tcPr>
            <w:tcW w:w="1575" w:type="dxa"/>
            <w:tcBorders>
              <w:top w:val="single" w:sz="4" w:space="0" w:color="auto"/>
              <w:left w:val="single" w:sz="4" w:space="0" w:color="auto"/>
              <w:bottom w:val="single" w:sz="4" w:space="0" w:color="auto"/>
              <w:right w:val="single" w:sz="4" w:space="0" w:color="auto"/>
            </w:tcBorders>
            <w:vAlign w:val="center"/>
          </w:tcPr>
          <w:p w:rsidR="00BB599F" w:rsidRDefault="005F1801">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017394</w:t>
            </w:r>
          </w:p>
        </w:tc>
      </w:tr>
    </w:tbl>
    <w:p w:rsidR="00BB599F" w:rsidRDefault="005F1801">
      <w:pPr>
        <w:ind w:firstLineChars="200" w:firstLine="480"/>
        <w:rPr>
          <w:rFonts w:ascii="方正仿宋_GBK" w:eastAsia="方正仿宋_GBK" w:hAnsi="方正仿宋_GBK" w:cs="方正仿宋_GBK"/>
        </w:rPr>
      </w:pPr>
      <w:r>
        <w:rPr>
          <w:rFonts w:ascii="方正仿宋_GBK" w:eastAsia="方正仿宋_GBK" w:hAnsi="方正仿宋_GBK" w:cs="方正仿宋_GBK" w:hint="eastAsia"/>
        </w:rPr>
        <w:t>注：</w:t>
      </w:r>
      <w:r>
        <w:rPr>
          <w:rFonts w:ascii="方正仿宋_GBK" w:eastAsia="方正仿宋_GBK" w:hAnsi="方正仿宋_GBK" w:cs="方正仿宋_GBK"/>
        </w:rPr>
        <w:t>英大安鑫</w:t>
      </w:r>
      <w:r>
        <w:rPr>
          <w:rFonts w:ascii="方正仿宋_GBK" w:eastAsia="方正仿宋_GBK" w:hAnsi="方正仿宋_GBK" w:cs="方正仿宋_GBK"/>
        </w:rPr>
        <w:t>66</w:t>
      </w:r>
      <w:r>
        <w:rPr>
          <w:rFonts w:ascii="方正仿宋_GBK" w:eastAsia="方正仿宋_GBK" w:hAnsi="方正仿宋_GBK" w:cs="方正仿宋_GBK"/>
        </w:rPr>
        <w:t>个月定期开放债券，暂不办理申购（含转换转入）等业务；英大安惠纯债</w:t>
      </w:r>
      <w:r>
        <w:rPr>
          <w:rFonts w:ascii="方正仿宋_GBK" w:eastAsia="方正仿宋_GBK" w:hAnsi="方正仿宋_GBK" w:cs="方正仿宋_GBK"/>
        </w:rPr>
        <w:t xml:space="preserve"> A</w:t>
      </w:r>
      <w:r>
        <w:rPr>
          <w:rFonts w:ascii="方正仿宋_GBK" w:eastAsia="方正仿宋_GBK" w:hAnsi="方正仿宋_GBK" w:cs="方正仿宋_GBK"/>
        </w:rPr>
        <w:t>、</w:t>
      </w:r>
      <w:r>
        <w:rPr>
          <w:rFonts w:ascii="方正仿宋_GBK" w:eastAsia="方正仿宋_GBK" w:hAnsi="方正仿宋_GBK" w:cs="方正仿宋_GBK"/>
        </w:rPr>
        <w:t>C</w:t>
      </w:r>
      <w:r>
        <w:rPr>
          <w:rFonts w:ascii="方正仿宋_GBK" w:eastAsia="方正仿宋_GBK" w:hAnsi="方正仿宋_GBK" w:cs="方正仿宋_GBK" w:hint="eastAsia"/>
        </w:rPr>
        <w:t>、</w:t>
      </w:r>
      <w:r>
        <w:rPr>
          <w:rFonts w:ascii="方正仿宋_GBK" w:eastAsia="方正仿宋_GBK" w:hAnsi="方正仿宋_GBK" w:cs="方正仿宋_GBK" w:hint="eastAsia"/>
        </w:rPr>
        <w:t>E</w:t>
      </w:r>
      <w:r>
        <w:rPr>
          <w:rFonts w:ascii="方正仿宋_GBK" w:eastAsia="方正仿宋_GBK" w:hAnsi="方正仿宋_GBK" w:cs="方正仿宋_GBK"/>
        </w:rPr>
        <w:t>暂不向个人投资者销售</w:t>
      </w:r>
      <w:r>
        <w:rPr>
          <w:rFonts w:ascii="方正仿宋_GBK" w:eastAsia="方正仿宋_GBK" w:hAnsi="方正仿宋_GBK" w:cs="方正仿宋_GBK" w:hint="eastAsia"/>
        </w:rPr>
        <w:t>；</w:t>
      </w:r>
      <w:r>
        <w:rPr>
          <w:rFonts w:ascii="方正仿宋_GBK" w:eastAsia="方正仿宋_GBK" w:hAnsi="方正仿宋_GBK" w:cs="方正仿宋_GBK"/>
        </w:rPr>
        <w:t>开放相关业务的具体时间基金管理人将另行公告。</w:t>
      </w:r>
    </w:p>
    <w:p w:rsidR="00BB599F" w:rsidRDefault="005F1801">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定期定额投资业务提示</w:t>
      </w:r>
      <w:r>
        <w:rPr>
          <w:rFonts w:ascii="黑体" w:eastAsia="黑体" w:hAnsi="黑体"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、投资者通过同花顺办理基金定期定额投资业务，应遵循同花顺的具体规定</w:t>
      </w:r>
      <w:r>
        <w:rPr>
          <w:rFonts w:ascii="方正仿宋_GBK" w:eastAsia="方正仿宋_GBK" w:hAnsi="Times New Roman" w:cs="Times New Roman" w:hint="eastAsia"/>
          <w:sz w:val="32"/>
          <w:szCs w:val="32"/>
        </w:rPr>
        <w:t>。</w:t>
      </w:r>
    </w:p>
    <w:p w:rsidR="00BB599F" w:rsidRDefault="005F1801">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ascii="方正仿宋_GBK" w:eastAsia="方正仿宋_GBK" w:hAnsi="Times New Roman" w:cs="Times New Roman" w:hint="eastAsia"/>
          <w:sz w:val="32"/>
          <w:szCs w:val="32"/>
        </w:rPr>
        <w:t xml:space="preserve"> </w:t>
      </w:r>
    </w:p>
    <w:p w:rsidR="00BB599F" w:rsidRDefault="005F1801">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费率优惠活动</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自本公司新增同花顺为旗下基金的代销机构之日起，投资者通过同花顺申购（含定期定额申购、转入）本公告</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一、代理销售基金名称和代码</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中所列的基金（仅限前端收费模式），均可参加同花顺开展的费率优惠活动，具体以同花顺的费率优惠规则为准。各基金原费率请详见基金合</w:t>
      </w:r>
      <w:r>
        <w:rPr>
          <w:rFonts w:ascii="方正仿宋_GBK" w:eastAsia="方正仿宋_GBK" w:hAnsiTheme="minorEastAsia" w:cs="Times New Roman" w:hint="eastAsia"/>
          <w:sz w:val="32"/>
          <w:szCs w:val="32"/>
        </w:rPr>
        <w:t>同、招募说明书（更新）等法律文件，以及本公司发布的最新业务公告。</w:t>
      </w:r>
    </w:p>
    <w:p w:rsidR="00BB599F" w:rsidRDefault="005F180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Times New Roman" w:cs="Times New Roman" w:hint="eastAsia"/>
          <w:sz w:val="32"/>
          <w:szCs w:val="32"/>
        </w:rPr>
        <w:t>费率优惠期限以本公司或</w:t>
      </w:r>
      <w:r>
        <w:rPr>
          <w:rFonts w:ascii="方正仿宋_GBK" w:eastAsia="方正仿宋_GBK" w:hAnsiTheme="minorEastAsia" w:cs="Times New Roman" w:hint="eastAsia"/>
          <w:sz w:val="32"/>
          <w:szCs w:val="32"/>
        </w:rPr>
        <w:t>同花顺</w:t>
      </w:r>
      <w:r>
        <w:rPr>
          <w:rFonts w:ascii="方正仿宋_GBK" w:eastAsia="方正仿宋_GBK" w:hAnsi="Times New Roman" w:cs="Times New Roman" w:hint="eastAsia"/>
          <w:sz w:val="32"/>
          <w:szCs w:val="32"/>
        </w:rPr>
        <w:t>官方网站所示公告为准。</w:t>
      </w:r>
    </w:p>
    <w:p w:rsidR="00BB599F" w:rsidRDefault="005F1801">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其他重要提示</w:t>
      </w:r>
      <w:r>
        <w:rPr>
          <w:rFonts w:ascii="黑体" w:eastAsia="黑体" w:hAnsi="黑体"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、投资者通过同花顺办理上述基金投资业务，具体办理规则及程序请按照同花顺的规定执行。</w:t>
      </w:r>
      <w:r>
        <w:rPr>
          <w:rFonts w:ascii="方正仿宋_GBK" w:eastAsia="方正仿宋_GBK" w:hAnsi="Times New Roman"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、投资者欲了解各基金的详细情况，请仔细阅读刊登于本公司网站（</w:t>
      </w:r>
      <w:r>
        <w:rPr>
          <w:rFonts w:ascii="方正仿宋_GBK" w:eastAsia="方正仿宋_GBK" w:hAnsi="Times New Roman" w:cs="Times New Roman" w:hint="eastAsia"/>
          <w:sz w:val="32"/>
          <w:szCs w:val="32"/>
        </w:rPr>
        <w:t>www.ydamc.com</w:t>
      </w:r>
      <w:r>
        <w:rPr>
          <w:rFonts w:ascii="方正仿宋_GBK" w:eastAsia="方正仿宋_GBK" w:hAnsiTheme="minorEastAsia" w:cs="Times New Roman" w:hint="eastAsia"/>
          <w:sz w:val="32"/>
          <w:szCs w:val="32"/>
        </w:rPr>
        <w:t>）的各基金的基金合同、招募说明书（更新）等法律文件，以及相关业务公告。</w:t>
      </w:r>
      <w:r>
        <w:rPr>
          <w:rFonts w:ascii="方正仿宋_GBK" w:eastAsia="方正仿宋_GBK" w:hAnsi="Times New Roman"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Pr>
          <w:rFonts w:ascii="方正仿宋_GBK" w:eastAsia="方正仿宋_GBK" w:hAnsiTheme="minorEastAsia" w:cs="Times New Roman" w:hint="eastAsia"/>
          <w:sz w:val="32"/>
          <w:szCs w:val="32"/>
        </w:rPr>
        <w:t>、本公告的解释权归本公司所有。</w:t>
      </w:r>
      <w:r>
        <w:rPr>
          <w:rFonts w:ascii="方正仿宋_GBK" w:eastAsia="方正仿宋_GBK" w:hAnsi="Times New Roman" w:cs="Times New Roman" w:hint="eastAsia"/>
          <w:sz w:val="32"/>
          <w:szCs w:val="32"/>
        </w:rPr>
        <w:t xml:space="preserve"> </w:t>
      </w:r>
    </w:p>
    <w:p w:rsidR="00BB599F" w:rsidRDefault="005F1801">
      <w:pPr>
        <w:numPr>
          <w:ilvl w:val="0"/>
          <w:numId w:val="1"/>
        </w:num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投资者可通过以下途径咨询详情</w:t>
      </w:r>
      <w:r>
        <w:rPr>
          <w:rFonts w:ascii="黑体" w:eastAsia="黑体" w:hAnsi="黑体"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、浙江同花顺基金销售有限公司</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客户服务电话：</w:t>
      </w:r>
      <w:r>
        <w:rPr>
          <w:rFonts w:ascii="方正仿宋_GBK" w:eastAsia="方正仿宋_GBK" w:hAnsi="Times New Roman" w:cs="Times New Roman" w:hint="eastAsia"/>
          <w:sz w:val="32"/>
          <w:szCs w:val="32"/>
        </w:rPr>
        <w:t>952555</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网址：</w:t>
      </w:r>
      <w:r>
        <w:rPr>
          <w:rFonts w:ascii="方正仿宋_GBK" w:eastAsia="方正仿宋_GBK" w:hAnsi="Times New Roman" w:cs="Times New Roman" w:hint="eastAsia"/>
          <w:sz w:val="32"/>
          <w:szCs w:val="32"/>
        </w:rPr>
        <w:t>www.5ifund.com</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客户服务电话：</w:t>
      </w:r>
      <w:r>
        <w:rPr>
          <w:rFonts w:ascii="方正仿宋_GBK" w:eastAsia="方正仿宋_GBK" w:hAnsi="Times New Roman" w:cs="Times New Roman" w:hint="eastAsia"/>
          <w:sz w:val="32"/>
          <w:szCs w:val="32"/>
        </w:rPr>
        <w:t xml:space="preserve">400-890-5288 </w:t>
      </w:r>
    </w:p>
    <w:p w:rsidR="00BB599F" w:rsidRDefault="005F1801">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公司网站：</w:t>
      </w:r>
      <w:r>
        <w:rPr>
          <w:rFonts w:ascii="方正仿宋_GBK" w:eastAsia="方正仿宋_GBK" w:hAnsi="Times New Roman" w:cs="Times New Roman" w:hint="eastAsia"/>
          <w:sz w:val="32"/>
          <w:szCs w:val="32"/>
        </w:rPr>
        <w:t>www.ydamc.com</w:t>
      </w:r>
    </w:p>
    <w:p w:rsidR="00BB599F" w:rsidRDefault="005F1801">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风险提示</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承诺以诚实信用、勤勉尽责的原则管理和运用基金资产，但不保证基金一定盈利，也不保证最低收益。投资者购买货币市场基金并不等于将资金作为存款存放在银行或存款类金融机构。“养老”的名称不代表收益保障或其他任何形式的收益承诺，养老产品不保本，可能发生</w:t>
      </w:r>
      <w:r>
        <w:rPr>
          <w:rFonts w:ascii="方正仿宋_GBK" w:eastAsia="方正仿宋_GBK" w:hAnsiTheme="minorEastAsia" w:cs="Times New Roman" w:hint="eastAsia"/>
          <w:sz w:val="32"/>
          <w:szCs w:val="32"/>
        </w:rPr>
        <w:t>亏损。敬请投资者注意投资风险。投资者投资于上述基金前应认真阅读基金的基金合同、招募说明书（更新）等法律文件，并选择适合自身风险承受能力的投资品种进行投资。</w:t>
      </w:r>
      <w:r>
        <w:rPr>
          <w:rFonts w:ascii="方正仿宋_GBK" w:eastAsia="方正仿宋_GBK" w:hAnsi="Times New Roman" w:cs="Times New Roman" w:hint="eastAsia"/>
          <w:sz w:val="32"/>
          <w:szCs w:val="32"/>
        </w:rPr>
        <w:t xml:space="preserve"> </w:t>
      </w:r>
    </w:p>
    <w:p w:rsidR="00BB599F" w:rsidRDefault="005F1801">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r>
        <w:rPr>
          <w:rFonts w:ascii="方正仿宋_GBK" w:eastAsia="方正仿宋_GBK" w:hAnsiTheme="minorEastAsia" w:cs="Times New Roman" w:hint="eastAsia"/>
          <w:sz w:val="32"/>
          <w:szCs w:val="32"/>
        </w:rPr>
        <w:t>特此公告。</w:t>
      </w:r>
      <w:r>
        <w:rPr>
          <w:rFonts w:ascii="方正仿宋_GBK" w:eastAsia="方正仿宋_GBK" w:hAnsi="Times New Roman" w:cs="Times New Roman" w:hint="eastAsia"/>
          <w:sz w:val="32"/>
          <w:szCs w:val="32"/>
        </w:rPr>
        <w:t xml:space="preserve">  </w:t>
      </w:r>
    </w:p>
    <w:p w:rsidR="00BB599F" w:rsidRDefault="005F1801">
      <w:pPr>
        <w:overflowPunct w:val="0"/>
        <w:autoSpaceDE w:val="0"/>
        <w:autoSpaceDN w:val="0"/>
        <w:adjustRightInd w:val="0"/>
        <w:snapToGrid w:val="0"/>
        <w:spacing w:line="560" w:lineRule="exact"/>
        <w:ind w:firstLineChars="200" w:firstLine="640"/>
        <w:jc w:val="right"/>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BB599F" w:rsidRDefault="005F1801">
      <w:pPr>
        <w:overflowPunct w:val="0"/>
        <w:autoSpaceDE w:val="0"/>
        <w:autoSpaceDN w:val="0"/>
        <w:adjustRightInd w:val="0"/>
        <w:snapToGrid w:val="0"/>
        <w:spacing w:line="560" w:lineRule="exact"/>
        <w:ind w:right="480" w:firstLineChars="200" w:firstLine="640"/>
        <w:jc w:val="right"/>
        <w:rPr>
          <w:rFonts w:ascii="方正仿宋_GBK" w:eastAsia="方正仿宋_GBK"/>
          <w:sz w:val="32"/>
          <w:szCs w:val="32"/>
        </w:rPr>
      </w:pPr>
      <w:r>
        <w:rPr>
          <w:rFonts w:ascii="方正仿宋_GBK" w:eastAsia="方正仿宋_GBK" w:hAnsi="Times New Roman" w:cs="Times New Roman" w:hint="eastAsia"/>
          <w:sz w:val="32"/>
          <w:szCs w:val="32"/>
        </w:rPr>
        <w:t>202</w:t>
      </w:r>
      <w:r>
        <w:rPr>
          <w:rFonts w:ascii="方正仿宋_GBK" w:eastAsia="方正仿宋_GBK" w:hAnsi="Times New Roman" w:cs="Times New Roman"/>
          <w:sz w:val="32"/>
          <w:szCs w:val="32"/>
        </w:rPr>
        <w:t>3</w:t>
      </w:r>
      <w:r>
        <w:rPr>
          <w:rFonts w:ascii="方正仿宋_GBK" w:eastAsia="方正仿宋_GBK" w:hAnsi="Times New Roman" w:cs="Times New Roman" w:hint="eastAsia"/>
          <w:sz w:val="32"/>
          <w:szCs w:val="32"/>
        </w:rPr>
        <w:t>年</w:t>
      </w:r>
      <w:r>
        <w:rPr>
          <w:rFonts w:ascii="方正仿宋_GBK" w:eastAsia="方正仿宋_GBK" w:hAnsi="Times New Roman" w:cs="Times New Roman" w:hint="eastAsia"/>
          <w:sz w:val="32"/>
          <w:szCs w:val="32"/>
        </w:rPr>
        <w:t>11</w:t>
      </w:r>
      <w:r>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28</w:t>
      </w:r>
      <w:r>
        <w:rPr>
          <w:rFonts w:ascii="方正仿宋_GBK" w:eastAsia="方正仿宋_GBK" w:hAnsi="Times New Roman" w:cs="Times New Roman" w:hint="eastAsia"/>
          <w:sz w:val="32"/>
          <w:szCs w:val="32"/>
        </w:rPr>
        <w:t>日</w:t>
      </w:r>
    </w:p>
    <w:sectPr w:rsidR="00BB599F" w:rsidSect="002E7F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楷体">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C454"/>
    <w:multiLevelType w:val="singleLevel"/>
    <w:tmpl w:val="4051C45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hjOTcwNTE2YTdiYzExNzcwMWFlZTBlYTg5ZGZiMTQifQ=="/>
  </w:docVars>
  <w:rsids>
    <w:rsidRoot w:val="006C6489"/>
    <w:rsid w:val="000205E9"/>
    <w:rsid w:val="00072944"/>
    <w:rsid w:val="000732FB"/>
    <w:rsid w:val="000F7AF6"/>
    <w:rsid w:val="00167BD5"/>
    <w:rsid w:val="001A7A82"/>
    <w:rsid w:val="001D5BF6"/>
    <w:rsid w:val="002044FF"/>
    <w:rsid w:val="002250C6"/>
    <w:rsid w:val="00225936"/>
    <w:rsid w:val="00275BCF"/>
    <w:rsid w:val="00282D0F"/>
    <w:rsid w:val="00284D8D"/>
    <w:rsid w:val="002A760C"/>
    <w:rsid w:val="002D451F"/>
    <w:rsid w:val="002E7F90"/>
    <w:rsid w:val="00310933"/>
    <w:rsid w:val="00316628"/>
    <w:rsid w:val="0032348B"/>
    <w:rsid w:val="00352E12"/>
    <w:rsid w:val="00355835"/>
    <w:rsid w:val="003B064D"/>
    <w:rsid w:val="003C3FE1"/>
    <w:rsid w:val="003D496C"/>
    <w:rsid w:val="00426CAE"/>
    <w:rsid w:val="00432837"/>
    <w:rsid w:val="00480705"/>
    <w:rsid w:val="00495C32"/>
    <w:rsid w:val="00495F37"/>
    <w:rsid w:val="004C707C"/>
    <w:rsid w:val="004D53FF"/>
    <w:rsid w:val="00517335"/>
    <w:rsid w:val="00590E04"/>
    <w:rsid w:val="005F1801"/>
    <w:rsid w:val="00607548"/>
    <w:rsid w:val="006918BF"/>
    <w:rsid w:val="006B32CF"/>
    <w:rsid w:val="006C6489"/>
    <w:rsid w:val="006F181B"/>
    <w:rsid w:val="00714575"/>
    <w:rsid w:val="00730E7F"/>
    <w:rsid w:val="00764B85"/>
    <w:rsid w:val="00773AC8"/>
    <w:rsid w:val="00774412"/>
    <w:rsid w:val="00793105"/>
    <w:rsid w:val="00794DC8"/>
    <w:rsid w:val="007E51B3"/>
    <w:rsid w:val="008050ED"/>
    <w:rsid w:val="00842889"/>
    <w:rsid w:val="0087471F"/>
    <w:rsid w:val="008A3D4A"/>
    <w:rsid w:val="008B5106"/>
    <w:rsid w:val="008B68C4"/>
    <w:rsid w:val="008D2DB4"/>
    <w:rsid w:val="00962CD2"/>
    <w:rsid w:val="009749B8"/>
    <w:rsid w:val="00A05F10"/>
    <w:rsid w:val="00A84680"/>
    <w:rsid w:val="00AA6F29"/>
    <w:rsid w:val="00B2383A"/>
    <w:rsid w:val="00B74189"/>
    <w:rsid w:val="00BB599F"/>
    <w:rsid w:val="00BE01DD"/>
    <w:rsid w:val="00BE096C"/>
    <w:rsid w:val="00BF7A91"/>
    <w:rsid w:val="00C27A70"/>
    <w:rsid w:val="00CE797F"/>
    <w:rsid w:val="00D3656C"/>
    <w:rsid w:val="00D62F56"/>
    <w:rsid w:val="00D72DEB"/>
    <w:rsid w:val="00D77864"/>
    <w:rsid w:val="00D93020"/>
    <w:rsid w:val="00D96F38"/>
    <w:rsid w:val="00DA213A"/>
    <w:rsid w:val="00DB5CEA"/>
    <w:rsid w:val="00DD5226"/>
    <w:rsid w:val="00E07DAB"/>
    <w:rsid w:val="00E14D75"/>
    <w:rsid w:val="00E419F7"/>
    <w:rsid w:val="00EA1E02"/>
    <w:rsid w:val="00EC6B8C"/>
    <w:rsid w:val="00ED3623"/>
    <w:rsid w:val="00F0313C"/>
    <w:rsid w:val="00F10081"/>
    <w:rsid w:val="00F524AC"/>
    <w:rsid w:val="00F87DC2"/>
    <w:rsid w:val="00FB0EF1"/>
    <w:rsid w:val="00FB10CA"/>
    <w:rsid w:val="00FC643B"/>
    <w:rsid w:val="00FE45A0"/>
    <w:rsid w:val="04DF7CDC"/>
    <w:rsid w:val="0D7124A3"/>
    <w:rsid w:val="13697A7B"/>
    <w:rsid w:val="143075AD"/>
    <w:rsid w:val="15431BC1"/>
    <w:rsid w:val="188939F7"/>
    <w:rsid w:val="193975BC"/>
    <w:rsid w:val="1E3953B1"/>
    <w:rsid w:val="1E9D68A5"/>
    <w:rsid w:val="203A4297"/>
    <w:rsid w:val="21127D99"/>
    <w:rsid w:val="21843E13"/>
    <w:rsid w:val="2190645F"/>
    <w:rsid w:val="22CC31F6"/>
    <w:rsid w:val="260C7328"/>
    <w:rsid w:val="269B7E2E"/>
    <w:rsid w:val="27912C60"/>
    <w:rsid w:val="28B014B1"/>
    <w:rsid w:val="29417EE1"/>
    <w:rsid w:val="2C491BD1"/>
    <w:rsid w:val="30C829CE"/>
    <w:rsid w:val="34033232"/>
    <w:rsid w:val="34871FC4"/>
    <w:rsid w:val="35E30349"/>
    <w:rsid w:val="364C25B2"/>
    <w:rsid w:val="391D2EBD"/>
    <w:rsid w:val="3978761F"/>
    <w:rsid w:val="3A56576B"/>
    <w:rsid w:val="3B0E2921"/>
    <w:rsid w:val="40721467"/>
    <w:rsid w:val="450757C5"/>
    <w:rsid w:val="473374D6"/>
    <w:rsid w:val="473E2337"/>
    <w:rsid w:val="479C2541"/>
    <w:rsid w:val="49C26B65"/>
    <w:rsid w:val="4A023DFB"/>
    <w:rsid w:val="4AA971E5"/>
    <w:rsid w:val="4B831CB4"/>
    <w:rsid w:val="4C3B4407"/>
    <w:rsid w:val="4D712CEA"/>
    <w:rsid w:val="4E0B65B9"/>
    <w:rsid w:val="516E519F"/>
    <w:rsid w:val="5195714E"/>
    <w:rsid w:val="53072895"/>
    <w:rsid w:val="53430057"/>
    <w:rsid w:val="540D0E24"/>
    <w:rsid w:val="59EF5B5C"/>
    <w:rsid w:val="5ABA79E0"/>
    <w:rsid w:val="5AEE20AC"/>
    <w:rsid w:val="5CF5345E"/>
    <w:rsid w:val="5D19643C"/>
    <w:rsid w:val="5D2E7178"/>
    <w:rsid w:val="5D9A56C3"/>
    <w:rsid w:val="5DDD348C"/>
    <w:rsid w:val="5FBE0534"/>
    <w:rsid w:val="60601D56"/>
    <w:rsid w:val="61856867"/>
    <w:rsid w:val="62F97564"/>
    <w:rsid w:val="655A0FC5"/>
    <w:rsid w:val="65D50E5C"/>
    <w:rsid w:val="67613E16"/>
    <w:rsid w:val="67761DC2"/>
    <w:rsid w:val="682D7860"/>
    <w:rsid w:val="68B10C2F"/>
    <w:rsid w:val="68CC1751"/>
    <w:rsid w:val="69893E14"/>
    <w:rsid w:val="6D3818F6"/>
    <w:rsid w:val="6E1931AE"/>
    <w:rsid w:val="72153EBD"/>
    <w:rsid w:val="726E4BC1"/>
    <w:rsid w:val="736873B2"/>
    <w:rsid w:val="74633D33"/>
    <w:rsid w:val="75027D60"/>
    <w:rsid w:val="793D2D01"/>
    <w:rsid w:val="7A425463"/>
    <w:rsid w:val="7CDC24E4"/>
    <w:rsid w:val="7EA07388"/>
    <w:rsid w:val="7F5B2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90"/>
    <w:rPr>
      <w:rFonts w:ascii="宋体" w:hAnsi="宋体" w:cs="宋体"/>
      <w:sz w:val="24"/>
      <w:szCs w:val="24"/>
    </w:rPr>
  </w:style>
  <w:style w:type="paragraph" w:styleId="1">
    <w:name w:val="heading 1"/>
    <w:basedOn w:val="a"/>
    <w:next w:val="a"/>
    <w:link w:val="1Char"/>
    <w:uiPriority w:val="9"/>
    <w:qFormat/>
    <w:rsid w:val="002E7F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2E7F90"/>
  </w:style>
  <w:style w:type="paragraph" w:styleId="a4">
    <w:name w:val="Balloon Text"/>
    <w:basedOn w:val="a"/>
    <w:link w:val="Char"/>
    <w:uiPriority w:val="99"/>
    <w:semiHidden/>
    <w:unhideWhenUsed/>
    <w:qFormat/>
    <w:rsid w:val="002E7F90"/>
    <w:rPr>
      <w:sz w:val="18"/>
      <w:szCs w:val="18"/>
    </w:rPr>
  </w:style>
  <w:style w:type="paragraph" w:styleId="a5">
    <w:name w:val="footer"/>
    <w:basedOn w:val="a"/>
    <w:link w:val="Char0"/>
    <w:uiPriority w:val="99"/>
    <w:semiHidden/>
    <w:unhideWhenUsed/>
    <w:qFormat/>
    <w:rsid w:val="002E7F90"/>
    <w:pPr>
      <w:tabs>
        <w:tab w:val="center" w:pos="4153"/>
        <w:tab w:val="right" w:pos="8306"/>
      </w:tabs>
      <w:snapToGrid w:val="0"/>
    </w:pPr>
    <w:rPr>
      <w:sz w:val="18"/>
      <w:szCs w:val="18"/>
    </w:rPr>
  </w:style>
  <w:style w:type="paragraph" w:styleId="a6">
    <w:name w:val="header"/>
    <w:basedOn w:val="a"/>
    <w:link w:val="Char1"/>
    <w:uiPriority w:val="99"/>
    <w:semiHidden/>
    <w:unhideWhenUsed/>
    <w:qFormat/>
    <w:rsid w:val="002E7F9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2E7F90"/>
    <w:rPr>
      <w:rFonts w:ascii="Courier New" w:hAnsi="Courier New" w:cs="Courier New"/>
      <w:sz w:val="20"/>
      <w:szCs w:val="20"/>
    </w:rPr>
  </w:style>
  <w:style w:type="paragraph" w:styleId="a7">
    <w:name w:val="Title"/>
    <w:basedOn w:val="a"/>
    <w:next w:val="a"/>
    <w:link w:val="Char2"/>
    <w:uiPriority w:val="10"/>
    <w:qFormat/>
    <w:rsid w:val="002E7F90"/>
    <w:pPr>
      <w:spacing w:before="240" w:after="60"/>
      <w:jc w:val="center"/>
      <w:outlineLvl w:val="0"/>
    </w:pPr>
    <w:rPr>
      <w:rFonts w:asciiTheme="majorHAnsi" w:hAnsiTheme="majorHAnsi" w:cstheme="majorBidi"/>
      <w:b/>
      <w:bCs/>
      <w:sz w:val="32"/>
      <w:szCs w:val="32"/>
    </w:rPr>
  </w:style>
  <w:style w:type="table" w:styleId="a8">
    <w:name w:val="Table Grid"/>
    <w:basedOn w:val="a1"/>
    <w:uiPriority w:val="59"/>
    <w:qFormat/>
    <w:rsid w:val="002E7F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qFormat/>
    <w:rsid w:val="002E7F90"/>
    <w:rPr>
      <w:color w:val="0000FF"/>
      <w:u w:val="single"/>
    </w:rPr>
  </w:style>
  <w:style w:type="character" w:styleId="aa">
    <w:name w:val="annotation reference"/>
    <w:basedOn w:val="a0"/>
    <w:uiPriority w:val="99"/>
    <w:semiHidden/>
    <w:unhideWhenUsed/>
    <w:qFormat/>
    <w:rsid w:val="002E7F90"/>
    <w:rPr>
      <w:sz w:val="21"/>
      <w:szCs w:val="21"/>
    </w:rPr>
  </w:style>
  <w:style w:type="character" w:customStyle="1" w:styleId="Char1">
    <w:name w:val="页眉 Char"/>
    <w:basedOn w:val="a0"/>
    <w:link w:val="a6"/>
    <w:uiPriority w:val="99"/>
    <w:semiHidden/>
    <w:qFormat/>
    <w:rsid w:val="002E7F90"/>
    <w:rPr>
      <w:sz w:val="18"/>
      <w:szCs w:val="18"/>
    </w:rPr>
  </w:style>
  <w:style w:type="character" w:customStyle="1" w:styleId="Char0">
    <w:name w:val="页脚 Char"/>
    <w:basedOn w:val="a0"/>
    <w:link w:val="a5"/>
    <w:uiPriority w:val="99"/>
    <w:semiHidden/>
    <w:qFormat/>
    <w:rsid w:val="002E7F90"/>
    <w:rPr>
      <w:sz w:val="18"/>
      <w:szCs w:val="18"/>
    </w:rPr>
  </w:style>
  <w:style w:type="character" w:customStyle="1" w:styleId="Char2">
    <w:name w:val="标题 Char"/>
    <w:basedOn w:val="a0"/>
    <w:link w:val="a7"/>
    <w:uiPriority w:val="10"/>
    <w:qFormat/>
    <w:rsid w:val="002E7F90"/>
    <w:rPr>
      <w:rFonts w:asciiTheme="majorHAnsi" w:eastAsia="宋体" w:hAnsiTheme="majorHAnsi" w:cstheme="majorBidi"/>
      <w:b/>
      <w:bCs/>
      <w:sz w:val="32"/>
      <w:szCs w:val="32"/>
    </w:rPr>
  </w:style>
  <w:style w:type="paragraph" w:styleId="ab">
    <w:name w:val="List Paragraph"/>
    <w:basedOn w:val="a"/>
    <w:uiPriority w:val="34"/>
    <w:qFormat/>
    <w:rsid w:val="002E7F90"/>
    <w:pPr>
      <w:ind w:firstLineChars="200" w:firstLine="420"/>
    </w:pPr>
  </w:style>
  <w:style w:type="character" w:customStyle="1" w:styleId="Char">
    <w:name w:val="批注框文本 Char"/>
    <w:basedOn w:val="a0"/>
    <w:link w:val="a4"/>
    <w:uiPriority w:val="99"/>
    <w:semiHidden/>
    <w:qFormat/>
    <w:rsid w:val="002E7F90"/>
    <w:rPr>
      <w:sz w:val="18"/>
      <w:szCs w:val="18"/>
    </w:rPr>
  </w:style>
  <w:style w:type="character" w:customStyle="1" w:styleId="apple-converted-space">
    <w:name w:val="apple-converted-space"/>
    <w:basedOn w:val="a0"/>
    <w:qFormat/>
    <w:rsid w:val="002E7F90"/>
  </w:style>
  <w:style w:type="character" w:customStyle="1" w:styleId="1Char">
    <w:name w:val="标题 1 Char"/>
    <w:basedOn w:val="a0"/>
    <w:link w:val="1"/>
    <w:uiPriority w:val="9"/>
    <w:qFormat/>
    <w:rsid w:val="002E7F90"/>
    <w:rPr>
      <w:rFonts w:asciiTheme="minorHAnsi" w:eastAsiaTheme="minorEastAsia" w:hAnsiTheme="minorHAnsi" w:cstheme="minorBidi"/>
      <w:b/>
      <w:bCs/>
      <w:kern w:val="44"/>
      <w:sz w:val="44"/>
      <w:szCs w:val="44"/>
    </w:rPr>
  </w:style>
  <w:style w:type="character" w:customStyle="1" w:styleId="HTMLChar">
    <w:name w:val="HTML 预设格式 Char"/>
    <w:basedOn w:val="a0"/>
    <w:link w:val="HTML"/>
    <w:uiPriority w:val="99"/>
    <w:semiHidden/>
    <w:qFormat/>
    <w:rsid w:val="002E7F9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DD39-AC21-4825-9BC2-D5996A8C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2368</Characters>
  <Application>Microsoft Office Word</Application>
  <DocSecurity>4</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2019-05-23T06:46:00Z</cp:lastPrinted>
  <dcterms:created xsi:type="dcterms:W3CDTF">2023-11-27T16:02:00Z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FA9D1556A9784CF38748812ECD38D673</vt:lpwstr>
  </property>
</Properties>
</file>