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436" w:rsidRPr="005A0A04" w:rsidRDefault="00893436" w:rsidP="00893436">
      <w:pPr>
        <w:widowControl/>
        <w:jc w:val="center"/>
        <w:rPr>
          <w:rFonts w:asciiTheme="minorEastAsia" w:eastAsiaTheme="minorEastAsia" w:hAnsiTheme="minorEastAsia" w:cs="宋体"/>
          <w:b/>
          <w:kern w:val="0"/>
          <w:sz w:val="30"/>
          <w:szCs w:val="30"/>
        </w:rPr>
      </w:pPr>
      <w:r w:rsidRPr="005A0A04">
        <w:rPr>
          <w:rFonts w:asciiTheme="minorEastAsia" w:eastAsiaTheme="minorEastAsia" w:hAnsiTheme="minorEastAsia" w:cs="宋体" w:hint="eastAsia"/>
          <w:b/>
          <w:kern w:val="0"/>
          <w:sz w:val="30"/>
          <w:szCs w:val="30"/>
        </w:rPr>
        <w:t>广发中债7-10年期国开行债券指数证券投资基金分红公告</w:t>
      </w:r>
    </w:p>
    <w:p w:rsidR="00893436" w:rsidRPr="006F346A" w:rsidRDefault="00893436" w:rsidP="006F346A">
      <w:pPr>
        <w:jc w:val="center"/>
        <w:rPr>
          <w:rFonts w:asciiTheme="minorEastAsia" w:eastAsiaTheme="minorEastAsia" w:hAnsiTheme="minorEastAsia"/>
          <w:color w:val="000000"/>
          <w:sz w:val="24"/>
          <w:szCs w:val="24"/>
        </w:rPr>
      </w:pPr>
      <w:r w:rsidRPr="006F346A">
        <w:rPr>
          <w:rFonts w:asciiTheme="minorEastAsia" w:eastAsiaTheme="minorEastAsia" w:hAnsiTheme="minorEastAsia"/>
          <w:color w:val="000000"/>
          <w:sz w:val="24"/>
          <w:szCs w:val="24"/>
        </w:rPr>
        <w:t>公告送出日期：2023年11月25日</w:t>
      </w:r>
    </w:p>
    <w:p w:rsidR="00893436" w:rsidRPr="00163C8E" w:rsidRDefault="00893436" w:rsidP="00893436">
      <w:pPr>
        <w:spacing w:line="560" w:lineRule="exact"/>
        <w:jc w:val="center"/>
        <w:rPr>
          <w:rFonts w:asciiTheme="minorEastAsia" w:eastAsiaTheme="minorEastAsia" w:hAnsiTheme="minorEastAsia"/>
          <w:color w:val="000000"/>
          <w:sz w:val="24"/>
        </w:rPr>
      </w:pPr>
    </w:p>
    <w:p w:rsidR="00893436" w:rsidRPr="00163C8E" w:rsidRDefault="00893436" w:rsidP="0045170D">
      <w:pPr>
        <w:pStyle w:val="2"/>
        <w:spacing w:line="360" w:lineRule="auto"/>
        <w:rPr>
          <w:rFonts w:asciiTheme="minorEastAsia" w:eastAsiaTheme="minorEastAsia" w:hAnsiTheme="minorEastAsia"/>
          <w:bCs w:val="0"/>
          <w:color w:val="000000"/>
          <w:sz w:val="24"/>
          <w:szCs w:val="24"/>
        </w:rPr>
      </w:pPr>
      <w:bookmarkStart w:id="0" w:name="_Toc275961418"/>
      <w:r w:rsidRPr="00163C8E">
        <w:rPr>
          <w:rFonts w:asciiTheme="minorEastAsia" w:eastAsiaTheme="minorEastAsia" w:hAnsiTheme="minorEastAsia"/>
          <w:bCs w:val="0"/>
          <w:color w:val="000000"/>
          <w:sz w:val="24"/>
          <w:szCs w:val="24"/>
        </w:rPr>
        <w:t>1</w:t>
      </w:r>
      <w:r w:rsidR="00471130">
        <w:rPr>
          <w:rFonts w:asciiTheme="minorEastAsia" w:eastAsiaTheme="minorEastAsia" w:hAnsiTheme="minorEastAsia"/>
          <w:bCs w:val="0"/>
          <w:color w:val="000000"/>
          <w:sz w:val="24"/>
          <w:szCs w:val="24"/>
        </w:rPr>
        <w:t>.</w:t>
      </w:r>
      <w:r w:rsidRPr="00163C8E">
        <w:rPr>
          <w:rFonts w:asciiTheme="minorEastAsia" w:eastAsiaTheme="minorEastAsia" w:hAnsiTheme="minorEastAsia"/>
          <w:bCs w:val="0"/>
          <w:color w:val="000000"/>
          <w:sz w:val="24"/>
          <w:szCs w:val="24"/>
        </w:rPr>
        <w:t xml:space="preserve"> 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7"/>
        <w:gridCol w:w="1928"/>
        <w:gridCol w:w="1928"/>
        <w:gridCol w:w="1928"/>
        <w:gridCol w:w="1928"/>
      </w:tblGrid>
      <w:tr w:rsidR="0039192C" w:rsidRPr="00163C8E" w:rsidTr="00B53CF8">
        <w:trPr>
          <w:jc w:val="center"/>
        </w:trPr>
        <w:tc>
          <w:tcPr>
            <w:tcW w:w="3855" w:type="dxa"/>
            <w:gridSpan w:val="2"/>
          </w:tcPr>
          <w:p w:rsidR="0039192C" w:rsidRPr="00163C8E" w:rsidRDefault="0039192C"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基金名称</w:t>
            </w:r>
          </w:p>
        </w:tc>
        <w:tc>
          <w:tcPr>
            <w:tcW w:w="5784" w:type="dxa"/>
            <w:gridSpan w:val="3"/>
            <w:vAlign w:val="center"/>
          </w:tcPr>
          <w:p w:rsidR="0039192C" w:rsidRPr="00163C8E" w:rsidRDefault="0039192C"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广发中债7-10年期国开行债券指数证券投资基金</w:t>
            </w:r>
          </w:p>
        </w:tc>
      </w:tr>
      <w:tr w:rsidR="0039192C" w:rsidRPr="00163C8E" w:rsidTr="00B53CF8">
        <w:trPr>
          <w:jc w:val="center"/>
        </w:trPr>
        <w:tc>
          <w:tcPr>
            <w:tcW w:w="3855" w:type="dxa"/>
            <w:gridSpan w:val="2"/>
          </w:tcPr>
          <w:p w:rsidR="0039192C" w:rsidRPr="00163C8E" w:rsidRDefault="0039192C"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基金简称</w:t>
            </w:r>
          </w:p>
        </w:tc>
        <w:tc>
          <w:tcPr>
            <w:tcW w:w="5784" w:type="dxa"/>
            <w:gridSpan w:val="3"/>
            <w:vAlign w:val="center"/>
          </w:tcPr>
          <w:p w:rsidR="0039192C" w:rsidRPr="00163C8E" w:rsidRDefault="0039192C"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广发中债7-10年国开债指数</w:t>
            </w:r>
          </w:p>
        </w:tc>
      </w:tr>
      <w:tr w:rsidR="0039192C" w:rsidRPr="00163C8E" w:rsidTr="00B53CF8">
        <w:trPr>
          <w:jc w:val="center"/>
        </w:trPr>
        <w:tc>
          <w:tcPr>
            <w:tcW w:w="3855" w:type="dxa"/>
            <w:gridSpan w:val="2"/>
          </w:tcPr>
          <w:p w:rsidR="0039192C" w:rsidRPr="00163C8E" w:rsidRDefault="0039192C"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基金主代码</w:t>
            </w:r>
          </w:p>
        </w:tc>
        <w:tc>
          <w:tcPr>
            <w:tcW w:w="5784" w:type="dxa"/>
            <w:gridSpan w:val="3"/>
            <w:vAlign w:val="center"/>
          </w:tcPr>
          <w:p w:rsidR="0039192C" w:rsidRPr="00163C8E" w:rsidRDefault="0039192C"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003376</w:t>
            </w:r>
          </w:p>
        </w:tc>
      </w:tr>
      <w:tr w:rsidR="0039192C" w:rsidRPr="00163C8E" w:rsidTr="00B53CF8">
        <w:trPr>
          <w:jc w:val="center"/>
        </w:trPr>
        <w:tc>
          <w:tcPr>
            <w:tcW w:w="3855" w:type="dxa"/>
            <w:gridSpan w:val="2"/>
            <w:vAlign w:val="center"/>
          </w:tcPr>
          <w:p w:rsidR="0039192C" w:rsidRPr="00163C8E" w:rsidRDefault="0039192C"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基金合同生效日</w:t>
            </w:r>
          </w:p>
        </w:tc>
        <w:tc>
          <w:tcPr>
            <w:tcW w:w="5784" w:type="dxa"/>
            <w:gridSpan w:val="3"/>
            <w:vAlign w:val="center"/>
          </w:tcPr>
          <w:p w:rsidR="0039192C" w:rsidRPr="00163C8E" w:rsidRDefault="003E51F2"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2016年9月26日</w:t>
            </w:r>
          </w:p>
        </w:tc>
      </w:tr>
      <w:tr w:rsidR="0039192C" w:rsidRPr="00163C8E" w:rsidTr="00B53CF8">
        <w:trPr>
          <w:jc w:val="center"/>
        </w:trPr>
        <w:tc>
          <w:tcPr>
            <w:tcW w:w="3855" w:type="dxa"/>
            <w:gridSpan w:val="2"/>
          </w:tcPr>
          <w:p w:rsidR="0039192C" w:rsidRPr="00163C8E" w:rsidRDefault="0039192C"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基金管理人名称</w:t>
            </w:r>
          </w:p>
        </w:tc>
        <w:tc>
          <w:tcPr>
            <w:tcW w:w="5784" w:type="dxa"/>
            <w:gridSpan w:val="3"/>
            <w:vAlign w:val="center"/>
          </w:tcPr>
          <w:p w:rsidR="0039192C" w:rsidRPr="00163C8E" w:rsidRDefault="0039192C"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广发基金管理有限公司</w:t>
            </w:r>
          </w:p>
        </w:tc>
      </w:tr>
      <w:tr w:rsidR="0039192C" w:rsidRPr="00163C8E" w:rsidTr="00B53CF8">
        <w:trPr>
          <w:jc w:val="center"/>
        </w:trPr>
        <w:tc>
          <w:tcPr>
            <w:tcW w:w="3855" w:type="dxa"/>
            <w:gridSpan w:val="2"/>
          </w:tcPr>
          <w:p w:rsidR="0039192C" w:rsidRPr="00163C8E" w:rsidRDefault="0039192C"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基金托管人名称</w:t>
            </w:r>
          </w:p>
        </w:tc>
        <w:tc>
          <w:tcPr>
            <w:tcW w:w="5784" w:type="dxa"/>
            <w:gridSpan w:val="3"/>
            <w:vAlign w:val="center"/>
          </w:tcPr>
          <w:p w:rsidR="0039192C" w:rsidRPr="00163C8E" w:rsidRDefault="0039192C"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宁波银行股份有限公司</w:t>
            </w:r>
          </w:p>
        </w:tc>
      </w:tr>
      <w:tr w:rsidR="0039192C" w:rsidRPr="00163C8E" w:rsidTr="00B53CF8">
        <w:trPr>
          <w:jc w:val="center"/>
        </w:trPr>
        <w:tc>
          <w:tcPr>
            <w:tcW w:w="3855" w:type="dxa"/>
            <w:gridSpan w:val="2"/>
          </w:tcPr>
          <w:p w:rsidR="0039192C" w:rsidRPr="00163C8E" w:rsidRDefault="0039192C"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公告依据</w:t>
            </w:r>
          </w:p>
        </w:tc>
        <w:tc>
          <w:tcPr>
            <w:tcW w:w="5784" w:type="dxa"/>
            <w:gridSpan w:val="3"/>
            <w:vAlign w:val="center"/>
          </w:tcPr>
          <w:p w:rsidR="0039192C" w:rsidRPr="00163C8E" w:rsidRDefault="0039192C"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《中华人民共和国证券投资基金法》及其配套法规、《广发中债7-10年期国开行债券指数证券投资基金基金合同》、《广发中债7-10年期国开行债券指数证券投资基金招募说明书》</w:t>
            </w:r>
          </w:p>
        </w:tc>
      </w:tr>
      <w:tr w:rsidR="00893436" w:rsidRPr="00163C8E" w:rsidTr="00B53CF8">
        <w:trPr>
          <w:jc w:val="center"/>
        </w:trPr>
        <w:tc>
          <w:tcPr>
            <w:tcW w:w="3855" w:type="dxa"/>
            <w:gridSpan w:val="2"/>
          </w:tcPr>
          <w:p w:rsidR="00893436" w:rsidRPr="00163C8E" w:rsidRDefault="00893436"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收益分配基准日</w:t>
            </w:r>
          </w:p>
        </w:tc>
        <w:tc>
          <w:tcPr>
            <w:tcW w:w="5784" w:type="dxa"/>
            <w:gridSpan w:val="3"/>
          </w:tcPr>
          <w:p w:rsidR="00893436" w:rsidRPr="00163C8E" w:rsidRDefault="0039192C"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2023年11月21日</w:t>
            </w:r>
          </w:p>
        </w:tc>
      </w:tr>
      <w:tr w:rsidR="00893436" w:rsidRPr="00163C8E" w:rsidTr="00B53CF8">
        <w:trPr>
          <w:jc w:val="center"/>
        </w:trPr>
        <w:tc>
          <w:tcPr>
            <w:tcW w:w="3855" w:type="dxa"/>
            <w:gridSpan w:val="2"/>
            <w:vAlign w:val="center"/>
          </w:tcPr>
          <w:p w:rsidR="00893436" w:rsidRPr="00163C8E" w:rsidRDefault="00893436"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有关年度分红次数的说明</w:t>
            </w:r>
          </w:p>
        </w:tc>
        <w:tc>
          <w:tcPr>
            <w:tcW w:w="5784" w:type="dxa"/>
            <w:gridSpan w:val="3"/>
            <w:vAlign w:val="center"/>
          </w:tcPr>
          <w:p w:rsidR="00893436" w:rsidRPr="00163C8E" w:rsidRDefault="009732A4"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本次分红为2023年度的第2次分红</w:t>
            </w:r>
          </w:p>
        </w:tc>
      </w:tr>
      <w:tr w:rsidR="00CB3D18" w:rsidRPr="00163C8E" w:rsidTr="00B53CF8">
        <w:trPr>
          <w:jc w:val="center"/>
        </w:trPr>
        <w:tc>
          <w:tcPr>
            <w:tcW w:w="3855" w:type="dxa"/>
            <w:gridSpan w:val="2"/>
          </w:tcPr>
          <w:p w:rsidR="00CB3D18" w:rsidRPr="00163C8E" w:rsidRDefault="00CB3D18"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下属分级基金的基金简称</w:t>
            </w:r>
          </w:p>
        </w:tc>
        <w:tc>
          <w:tcPr>
            <w:tcW w:w="1928" w:type="dxa"/>
          </w:tcPr>
          <w:p w:rsidR="00CB3D18" w:rsidRPr="00163C8E" w:rsidRDefault="00CB3D1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广发中债7-10年国开债指数A</w:t>
            </w:r>
          </w:p>
        </w:tc>
        <w:tc>
          <w:tcPr>
            <w:tcW w:w="1928" w:type="dxa"/>
          </w:tcPr>
          <w:p w:rsidR="00CB3D18" w:rsidRPr="00163C8E" w:rsidRDefault="00CB3D1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广发中债7-10年国开债指数C</w:t>
            </w:r>
          </w:p>
        </w:tc>
        <w:tc>
          <w:tcPr>
            <w:tcW w:w="1928" w:type="dxa"/>
          </w:tcPr>
          <w:p w:rsidR="00CB3D18" w:rsidRPr="00163C8E" w:rsidRDefault="00CB3D1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广发中债7-10年国开债指数E</w:t>
            </w:r>
          </w:p>
        </w:tc>
      </w:tr>
      <w:tr w:rsidR="00CB3D18" w:rsidRPr="00163C8E" w:rsidTr="00B53CF8">
        <w:trPr>
          <w:jc w:val="center"/>
        </w:trPr>
        <w:tc>
          <w:tcPr>
            <w:tcW w:w="3855" w:type="dxa"/>
            <w:gridSpan w:val="2"/>
          </w:tcPr>
          <w:p w:rsidR="00CB3D18" w:rsidRPr="00163C8E" w:rsidRDefault="00CB3D18"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下属分级基金的交易代码</w:t>
            </w:r>
          </w:p>
        </w:tc>
        <w:tc>
          <w:tcPr>
            <w:tcW w:w="1928" w:type="dxa"/>
          </w:tcPr>
          <w:p w:rsidR="00CB3D18" w:rsidRPr="00163C8E" w:rsidRDefault="00CB3D1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003376</w:t>
            </w:r>
          </w:p>
        </w:tc>
        <w:tc>
          <w:tcPr>
            <w:tcW w:w="1928" w:type="dxa"/>
          </w:tcPr>
          <w:p w:rsidR="00CB3D18" w:rsidRPr="00163C8E" w:rsidRDefault="00CB3D1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003377</w:t>
            </w:r>
          </w:p>
        </w:tc>
        <w:tc>
          <w:tcPr>
            <w:tcW w:w="1928" w:type="dxa"/>
          </w:tcPr>
          <w:p w:rsidR="00CB3D18" w:rsidRPr="00163C8E" w:rsidRDefault="00CB3D1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011062</w:t>
            </w:r>
          </w:p>
        </w:tc>
      </w:tr>
      <w:tr w:rsidR="00B53CF8" w:rsidRPr="00163C8E" w:rsidTr="00B53CF8">
        <w:trPr>
          <w:jc w:val="center"/>
        </w:trPr>
        <w:tc>
          <w:tcPr>
            <w:tcW w:w="1927" w:type="dxa"/>
            <w:vMerge w:val="restart"/>
            <w:vAlign w:val="center"/>
          </w:tcPr>
          <w:p w:rsidR="00B53CF8" w:rsidRPr="00163C8E" w:rsidRDefault="00B53CF8"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截止基准日下属分级基金的相关指标</w:t>
            </w:r>
          </w:p>
        </w:tc>
        <w:tc>
          <w:tcPr>
            <w:tcW w:w="1928" w:type="dxa"/>
          </w:tcPr>
          <w:p w:rsidR="00B53CF8" w:rsidRPr="00163C8E" w:rsidRDefault="00B53CF8"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基准日下属分级基金份额净值（单位：</w:t>
            </w:r>
            <w:r w:rsidRPr="00163C8E">
              <w:rPr>
                <w:rFonts w:asciiTheme="minorEastAsia" w:eastAsiaTheme="minorEastAsia" w:hAnsiTheme="minorEastAsia" w:hint="eastAsia"/>
                <w:color w:val="000000"/>
                <w:kern w:val="0"/>
                <w:sz w:val="24"/>
                <w:szCs w:val="24"/>
              </w:rPr>
              <w:t>元</w:t>
            </w:r>
            <w:r w:rsidRPr="00163C8E">
              <w:rPr>
                <w:rFonts w:asciiTheme="minorEastAsia" w:eastAsiaTheme="minorEastAsia" w:hAnsiTheme="minorEastAsia"/>
                <w:color w:val="000000"/>
                <w:sz w:val="24"/>
                <w:szCs w:val="24"/>
              </w:rPr>
              <w:t xml:space="preserve"> ）</w:t>
            </w:r>
          </w:p>
        </w:tc>
        <w:tc>
          <w:tcPr>
            <w:tcW w:w="1928" w:type="dxa"/>
          </w:tcPr>
          <w:p w:rsidR="00B53CF8" w:rsidRPr="00163C8E" w:rsidRDefault="00B53CF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1.2403</w:t>
            </w:r>
          </w:p>
        </w:tc>
        <w:tc>
          <w:tcPr>
            <w:tcW w:w="1928" w:type="dxa"/>
          </w:tcPr>
          <w:p w:rsidR="00B53CF8" w:rsidRPr="00163C8E" w:rsidRDefault="00B53CF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1.2078</w:t>
            </w:r>
          </w:p>
        </w:tc>
        <w:tc>
          <w:tcPr>
            <w:tcW w:w="1928" w:type="dxa"/>
          </w:tcPr>
          <w:p w:rsidR="00B53CF8" w:rsidRPr="00163C8E" w:rsidRDefault="00B53CF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1.2367</w:t>
            </w:r>
          </w:p>
        </w:tc>
      </w:tr>
      <w:tr w:rsidR="00B53CF8" w:rsidRPr="00163C8E" w:rsidTr="00B53CF8">
        <w:trPr>
          <w:trHeight w:val="405"/>
          <w:jc w:val="center"/>
        </w:trPr>
        <w:tc>
          <w:tcPr>
            <w:tcW w:w="1927" w:type="dxa"/>
            <w:vMerge/>
          </w:tcPr>
          <w:p w:rsidR="00B53CF8" w:rsidRPr="00163C8E" w:rsidRDefault="00B53CF8" w:rsidP="0045170D">
            <w:pPr>
              <w:rPr>
                <w:rFonts w:asciiTheme="minorEastAsia" w:eastAsiaTheme="minorEastAsia" w:hAnsiTheme="minorEastAsia"/>
                <w:color w:val="000000"/>
                <w:sz w:val="24"/>
                <w:szCs w:val="24"/>
              </w:rPr>
            </w:pPr>
          </w:p>
        </w:tc>
        <w:tc>
          <w:tcPr>
            <w:tcW w:w="1928" w:type="dxa"/>
            <w:vAlign w:val="center"/>
          </w:tcPr>
          <w:p w:rsidR="00B53CF8" w:rsidRPr="00163C8E" w:rsidRDefault="00B53CF8"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基准日下属分级基金可供分配利润（单位：</w:t>
            </w:r>
            <w:r w:rsidRPr="00163C8E">
              <w:rPr>
                <w:rFonts w:asciiTheme="minorEastAsia" w:eastAsiaTheme="minorEastAsia" w:hAnsiTheme="minorEastAsia" w:hint="eastAsia"/>
                <w:color w:val="000000"/>
                <w:kern w:val="0"/>
                <w:sz w:val="24"/>
                <w:szCs w:val="24"/>
              </w:rPr>
              <w:t>元</w:t>
            </w:r>
            <w:r w:rsidRPr="00163C8E">
              <w:rPr>
                <w:rFonts w:asciiTheme="minorEastAsia" w:eastAsiaTheme="minorEastAsia" w:hAnsiTheme="minorEastAsia"/>
                <w:color w:val="000000"/>
                <w:sz w:val="24"/>
                <w:szCs w:val="24"/>
              </w:rPr>
              <w:t xml:space="preserve"> ）</w:t>
            </w:r>
          </w:p>
        </w:tc>
        <w:tc>
          <w:tcPr>
            <w:tcW w:w="1928" w:type="dxa"/>
          </w:tcPr>
          <w:p w:rsidR="00B53CF8" w:rsidRPr="00163C8E" w:rsidRDefault="00B53CF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586,249,749.57</w:t>
            </w:r>
          </w:p>
        </w:tc>
        <w:tc>
          <w:tcPr>
            <w:tcW w:w="1928" w:type="dxa"/>
          </w:tcPr>
          <w:p w:rsidR="00B53CF8" w:rsidRPr="00163C8E" w:rsidRDefault="00B53CF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77,731,367.55</w:t>
            </w:r>
          </w:p>
        </w:tc>
        <w:tc>
          <w:tcPr>
            <w:tcW w:w="1928" w:type="dxa"/>
          </w:tcPr>
          <w:p w:rsidR="00B53CF8" w:rsidRPr="00163C8E" w:rsidRDefault="00B53CF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224,463,357.28</w:t>
            </w:r>
          </w:p>
        </w:tc>
      </w:tr>
      <w:tr w:rsidR="00DB7CFE">
        <w:trPr>
          <w:jc w:val="center"/>
        </w:trPr>
        <w:tc>
          <w:tcPr>
            <w:tcW w:w="1927" w:type="dxa"/>
            <w:vMerge/>
          </w:tcPr>
          <w:p w:rsidR="00DB7CFE" w:rsidRDefault="00DB7CFE"/>
        </w:tc>
        <w:tc>
          <w:tcPr>
            <w:tcW w:w="1928" w:type="dxa"/>
            <w:vAlign w:val="center"/>
          </w:tcPr>
          <w:p w:rsidR="00DB7CFE" w:rsidRDefault="00C3767F" w:rsidP="00752CA8">
            <w:bookmarkStart w:id="1" w:name="_GoBack"/>
            <w:r w:rsidRPr="00752CA8">
              <w:rPr>
                <w:rFonts w:asciiTheme="minorEastAsia" w:eastAsiaTheme="minorEastAsia" w:hAnsiTheme="minorEastAsia"/>
                <w:color w:val="000000"/>
                <w:sz w:val="24"/>
                <w:szCs w:val="24"/>
              </w:rPr>
              <w:t>截止基准日按照</w:t>
            </w:r>
            <w:r w:rsidRPr="00752CA8">
              <w:rPr>
                <w:rFonts w:asciiTheme="minorEastAsia" w:eastAsiaTheme="minorEastAsia" w:hAnsiTheme="minorEastAsia"/>
                <w:color w:val="000000"/>
                <w:sz w:val="24"/>
                <w:szCs w:val="24"/>
              </w:rPr>
              <w:lastRenderedPageBreak/>
              <w:t>基金合同约定的分红比例计算的应分配金额（单位：元）</w:t>
            </w:r>
            <w:bookmarkEnd w:id="1"/>
          </w:p>
        </w:tc>
        <w:tc>
          <w:tcPr>
            <w:tcW w:w="1928" w:type="dxa"/>
            <w:vAlign w:val="center"/>
          </w:tcPr>
          <w:p w:rsidR="00DB7CFE" w:rsidRDefault="00C3767F">
            <w:pPr>
              <w:jc w:val="left"/>
            </w:pPr>
            <w:r>
              <w:rPr>
                <w:rFonts w:asciiTheme="minorEastAsia" w:eastAsiaTheme="minorEastAsia" w:hAnsiTheme="minorEastAsia"/>
                <w:sz w:val="24"/>
                <w:szCs w:val="24"/>
              </w:rPr>
              <w:lastRenderedPageBreak/>
              <w:t>58,624,974.96</w:t>
            </w:r>
          </w:p>
        </w:tc>
        <w:tc>
          <w:tcPr>
            <w:tcW w:w="1928" w:type="dxa"/>
            <w:vAlign w:val="center"/>
          </w:tcPr>
          <w:p w:rsidR="00DB7CFE" w:rsidRDefault="00C3767F">
            <w:pPr>
              <w:jc w:val="left"/>
            </w:pPr>
            <w:r>
              <w:rPr>
                <w:rFonts w:asciiTheme="minorEastAsia" w:eastAsiaTheme="minorEastAsia" w:hAnsiTheme="minorEastAsia"/>
                <w:sz w:val="24"/>
                <w:szCs w:val="24"/>
              </w:rPr>
              <w:t>7,773,136.76</w:t>
            </w:r>
          </w:p>
        </w:tc>
        <w:tc>
          <w:tcPr>
            <w:tcW w:w="1928" w:type="dxa"/>
            <w:vAlign w:val="center"/>
          </w:tcPr>
          <w:p w:rsidR="00DB7CFE" w:rsidRDefault="00C3767F">
            <w:pPr>
              <w:jc w:val="left"/>
            </w:pPr>
            <w:r>
              <w:rPr>
                <w:rFonts w:asciiTheme="minorEastAsia" w:eastAsiaTheme="minorEastAsia" w:hAnsiTheme="minorEastAsia"/>
                <w:sz w:val="24"/>
                <w:szCs w:val="24"/>
              </w:rPr>
              <w:t>22,446,335.73</w:t>
            </w:r>
          </w:p>
        </w:tc>
      </w:tr>
      <w:tr w:rsidR="004F17E3" w:rsidRPr="00163C8E" w:rsidTr="00EB157C">
        <w:trPr>
          <w:jc w:val="center"/>
        </w:trPr>
        <w:tc>
          <w:tcPr>
            <w:tcW w:w="3855" w:type="dxa"/>
            <w:gridSpan w:val="2"/>
          </w:tcPr>
          <w:p w:rsidR="004F17E3" w:rsidRPr="00163C8E" w:rsidRDefault="004F17E3" w:rsidP="00EB157C">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lastRenderedPageBreak/>
              <w:t>本次下属分级基金分红方案（单位：元/10份基金份额）</w:t>
            </w:r>
          </w:p>
        </w:tc>
        <w:tc>
          <w:tcPr>
            <w:tcW w:w="1928" w:type="dxa"/>
          </w:tcPr>
          <w:p w:rsidR="004F17E3" w:rsidRPr="00163C8E" w:rsidRDefault="004F17E3" w:rsidP="00EB157C">
            <w:pPr>
              <w:rPr>
                <w:rFonts w:asciiTheme="minorEastAsia" w:eastAsiaTheme="minorEastAsia" w:hAnsiTheme="minorEastAsia"/>
                <w:sz w:val="24"/>
                <w:szCs w:val="24"/>
              </w:rPr>
            </w:pPr>
            <w:r w:rsidRPr="00163C8E">
              <w:rPr>
                <w:rFonts w:asciiTheme="minorEastAsia" w:eastAsiaTheme="minorEastAsia" w:hAnsiTheme="minorEastAsia" w:hint="eastAsia"/>
                <w:sz w:val="24"/>
                <w:szCs w:val="24"/>
              </w:rPr>
              <w:t>0.496</w:t>
            </w:r>
          </w:p>
        </w:tc>
        <w:tc>
          <w:tcPr>
            <w:tcW w:w="1928" w:type="dxa"/>
          </w:tcPr>
          <w:p w:rsidR="004F17E3" w:rsidRPr="00163C8E" w:rsidRDefault="004F17E3" w:rsidP="00EB157C">
            <w:pPr>
              <w:rPr>
                <w:rFonts w:asciiTheme="minorEastAsia" w:eastAsiaTheme="minorEastAsia" w:hAnsiTheme="minorEastAsia"/>
                <w:sz w:val="24"/>
                <w:szCs w:val="24"/>
              </w:rPr>
            </w:pPr>
            <w:r w:rsidRPr="00163C8E">
              <w:rPr>
                <w:rFonts w:asciiTheme="minorEastAsia" w:eastAsiaTheme="minorEastAsia" w:hAnsiTheme="minorEastAsia" w:hint="eastAsia"/>
                <w:sz w:val="24"/>
                <w:szCs w:val="24"/>
              </w:rPr>
              <w:t>0.483</w:t>
            </w:r>
          </w:p>
        </w:tc>
        <w:tc>
          <w:tcPr>
            <w:tcW w:w="1928" w:type="dxa"/>
          </w:tcPr>
          <w:p w:rsidR="004F17E3" w:rsidRPr="00163C8E" w:rsidRDefault="004F17E3" w:rsidP="00EB157C">
            <w:pPr>
              <w:rPr>
                <w:rFonts w:asciiTheme="minorEastAsia" w:eastAsiaTheme="minorEastAsia" w:hAnsiTheme="minorEastAsia"/>
                <w:sz w:val="24"/>
                <w:szCs w:val="24"/>
              </w:rPr>
            </w:pPr>
            <w:r w:rsidRPr="00163C8E">
              <w:rPr>
                <w:rFonts w:asciiTheme="minorEastAsia" w:eastAsiaTheme="minorEastAsia" w:hAnsiTheme="minorEastAsia"/>
                <w:sz w:val="24"/>
                <w:szCs w:val="24"/>
              </w:rPr>
              <w:t>0.495</w:t>
            </w:r>
          </w:p>
        </w:tc>
      </w:tr>
    </w:tbl>
    <w:p w:rsidR="00893436" w:rsidRPr="00163C8E" w:rsidRDefault="00F45E48" w:rsidP="002C6F7A">
      <w:pPr>
        <w:rPr>
          <w:rFonts w:asciiTheme="minorEastAsia" w:eastAsiaTheme="minorEastAsia" w:hAnsiTheme="minorEastAsia"/>
          <w:sz w:val="24"/>
          <w:szCs w:val="24"/>
        </w:rPr>
      </w:pPr>
      <w:r w:rsidRPr="00163C8E">
        <w:rPr>
          <w:rFonts w:asciiTheme="minorEastAsia" w:eastAsiaTheme="minorEastAsia" w:hAnsiTheme="minorEastAsia"/>
          <w:sz w:val="24"/>
          <w:szCs w:val="24"/>
        </w:rPr>
        <w:t>注：根据本基金基金合同约定，在符合有关基金分红条件的前提下，本基金每年收益分配次数最多为12次，每份基金份额每次收益分配比例不得低于收益分配基准日每份基金份额可供分配利润的10%。</w:t>
      </w:r>
    </w:p>
    <w:p w:rsidR="00893436" w:rsidRPr="00163C8E" w:rsidRDefault="00893436" w:rsidP="0045170D">
      <w:pPr>
        <w:pStyle w:val="2"/>
        <w:spacing w:line="360" w:lineRule="auto"/>
        <w:rPr>
          <w:rFonts w:asciiTheme="minorEastAsia" w:eastAsiaTheme="minorEastAsia" w:hAnsiTheme="minorEastAsia"/>
          <w:bCs w:val="0"/>
          <w:color w:val="000000"/>
          <w:sz w:val="24"/>
          <w:szCs w:val="24"/>
        </w:rPr>
      </w:pPr>
      <w:bookmarkStart w:id="2" w:name="_Toc275961419"/>
      <w:r w:rsidRPr="00163C8E">
        <w:rPr>
          <w:rFonts w:asciiTheme="minorEastAsia" w:eastAsiaTheme="minorEastAsia" w:hAnsiTheme="minorEastAsia"/>
          <w:bCs w:val="0"/>
          <w:color w:val="000000"/>
          <w:sz w:val="24"/>
          <w:szCs w:val="24"/>
        </w:rPr>
        <w:t>2</w:t>
      </w:r>
      <w:r w:rsidR="00471130">
        <w:rPr>
          <w:rFonts w:asciiTheme="minorEastAsia" w:eastAsiaTheme="minorEastAsia" w:hAnsiTheme="minorEastAsia"/>
          <w:bCs w:val="0"/>
          <w:color w:val="000000"/>
          <w:sz w:val="24"/>
          <w:szCs w:val="24"/>
        </w:rPr>
        <w:t>.</w:t>
      </w:r>
      <w:r w:rsidRPr="00163C8E">
        <w:rPr>
          <w:rFonts w:asciiTheme="minorEastAsia" w:eastAsiaTheme="minorEastAsia" w:hAnsiTheme="minorEastAsia"/>
          <w:bCs w:val="0"/>
          <w:color w:val="000000"/>
          <w:sz w:val="24"/>
          <w:szCs w:val="24"/>
        </w:rPr>
        <w:t xml:space="preserve"> 与分红相关的其他信息</w:t>
      </w:r>
      <w:bookmarkEnd w:id="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34"/>
        <w:gridCol w:w="6405"/>
      </w:tblGrid>
      <w:tr w:rsidR="00893436" w:rsidRPr="00163C8E" w:rsidTr="00AB1648">
        <w:trPr>
          <w:jc w:val="center"/>
        </w:trPr>
        <w:tc>
          <w:tcPr>
            <w:tcW w:w="4355" w:type="dxa"/>
          </w:tcPr>
          <w:p w:rsidR="00893436" w:rsidRPr="00163C8E" w:rsidRDefault="00893436"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权益登记日</w:t>
            </w:r>
          </w:p>
        </w:tc>
        <w:tc>
          <w:tcPr>
            <w:tcW w:w="4355" w:type="dxa"/>
          </w:tcPr>
          <w:p w:rsidR="00893436" w:rsidRPr="00163C8E" w:rsidRDefault="00D249B9" w:rsidP="0045170D">
            <w:pPr>
              <w:rPr>
                <w:rFonts w:asciiTheme="minorEastAsia" w:eastAsiaTheme="minorEastAsia" w:hAnsiTheme="minorEastAsia"/>
                <w:sz w:val="24"/>
                <w:szCs w:val="24"/>
              </w:rPr>
            </w:pPr>
            <w:r>
              <w:rPr>
                <w:rFonts w:asciiTheme="minorEastAsia" w:eastAsiaTheme="minorEastAsia" w:hAnsiTheme="minorEastAsia" w:hint="eastAsia"/>
                <w:kern w:val="0"/>
                <w:sz w:val="24"/>
                <w:szCs w:val="24"/>
              </w:rPr>
              <w:t>2023年11月28日</w:t>
            </w:r>
          </w:p>
        </w:tc>
      </w:tr>
      <w:tr w:rsidR="00752CA8" w:rsidRPr="00163C8E" w:rsidTr="00752CA8">
        <w:trPr>
          <w:jc w:val="center"/>
        </w:trPr>
        <w:tc>
          <w:tcPr>
            <w:tcW w:w="4355" w:type="dxa"/>
          </w:tcPr>
          <w:p w:rsidR="006369D9" w:rsidRPr="00163C8E" w:rsidRDefault="006369D9"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除息日</w:t>
            </w:r>
          </w:p>
        </w:tc>
        <w:tc>
          <w:tcPr>
            <w:tcW w:w="8710" w:type="dxa"/>
          </w:tcPr>
          <w:p w:rsidR="006369D9" w:rsidRPr="00163C8E" w:rsidRDefault="006369D9" w:rsidP="006D2BF1">
            <w:pPr>
              <w:rPr>
                <w:rFonts w:asciiTheme="minorEastAsia" w:eastAsiaTheme="minorEastAsia" w:hAnsiTheme="minorEastAsia"/>
                <w:sz w:val="24"/>
                <w:szCs w:val="24"/>
              </w:rPr>
            </w:pPr>
            <w:r w:rsidRPr="00163C8E">
              <w:rPr>
                <w:rFonts w:asciiTheme="minorEastAsia" w:eastAsiaTheme="minorEastAsia" w:hAnsiTheme="minorEastAsia"/>
                <w:sz w:val="24"/>
                <w:szCs w:val="24"/>
              </w:rPr>
              <w:t>2023年11月28日（场外）</w:t>
            </w:r>
          </w:p>
        </w:tc>
      </w:tr>
      <w:tr w:rsidR="00893436" w:rsidRPr="00163C8E" w:rsidTr="00AB1648">
        <w:trPr>
          <w:jc w:val="center"/>
        </w:trPr>
        <w:tc>
          <w:tcPr>
            <w:tcW w:w="4355" w:type="dxa"/>
          </w:tcPr>
          <w:p w:rsidR="00893436" w:rsidRPr="00163C8E" w:rsidRDefault="00893436"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现金红利发放日</w:t>
            </w:r>
          </w:p>
        </w:tc>
        <w:tc>
          <w:tcPr>
            <w:tcW w:w="4355" w:type="dxa"/>
          </w:tcPr>
          <w:p w:rsidR="00893436" w:rsidRPr="00163C8E" w:rsidRDefault="00BA7F5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2023年11月29日</w:t>
            </w:r>
          </w:p>
        </w:tc>
      </w:tr>
      <w:tr w:rsidR="00893436" w:rsidRPr="00163C8E" w:rsidTr="00AB1648">
        <w:trPr>
          <w:jc w:val="center"/>
        </w:trPr>
        <w:tc>
          <w:tcPr>
            <w:tcW w:w="4355" w:type="dxa"/>
          </w:tcPr>
          <w:p w:rsidR="00893436" w:rsidRPr="00163C8E" w:rsidRDefault="00893436"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分红对象</w:t>
            </w:r>
          </w:p>
        </w:tc>
        <w:tc>
          <w:tcPr>
            <w:tcW w:w="4355" w:type="dxa"/>
            <w:shd w:val="clear" w:color="auto" w:fill="auto"/>
          </w:tcPr>
          <w:p w:rsidR="00893436" w:rsidRPr="00163C8E" w:rsidRDefault="00BA7F5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权益登记日在本公司登记在册的本基金份额的全体持有人</w:t>
            </w:r>
          </w:p>
        </w:tc>
      </w:tr>
      <w:tr w:rsidR="00893436" w:rsidRPr="00163C8E" w:rsidTr="00AB1648">
        <w:trPr>
          <w:jc w:val="center"/>
        </w:trPr>
        <w:tc>
          <w:tcPr>
            <w:tcW w:w="4355" w:type="dxa"/>
            <w:shd w:val="clear" w:color="auto" w:fill="auto"/>
            <w:vAlign w:val="center"/>
          </w:tcPr>
          <w:p w:rsidR="00893436" w:rsidRPr="00163C8E" w:rsidRDefault="00893436"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红利再投资相关事项的说明</w:t>
            </w:r>
          </w:p>
        </w:tc>
        <w:tc>
          <w:tcPr>
            <w:tcW w:w="4355" w:type="dxa"/>
            <w:shd w:val="clear" w:color="auto" w:fill="auto"/>
          </w:tcPr>
          <w:p w:rsidR="00893436" w:rsidRPr="00163C8E" w:rsidRDefault="00BA7F5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选择红利再投资方式的投资者由红利转得的基金份额将以2023年11月28日的基金份额净值为计算基准确定。2023年11月30日起投资者可以查询。</w:t>
            </w:r>
          </w:p>
        </w:tc>
      </w:tr>
      <w:tr w:rsidR="00893436" w:rsidRPr="00163C8E" w:rsidTr="00AB1648">
        <w:trPr>
          <w:jc w:val="center"/>
        </w:trPr>
        <w:tc>
          <w:tcPr>
            <w:tcW w:w="4355" w:type="dxa"/>
          </w:tcPr>
          <w:p w:rsidR="00893436" w:rsidRPr="00163C8E" w:rsidRDefault="00893436"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税收相关事项的说明</w:t>
            </w:r>
          </w:p>
        </w:tc>
        <w:tc>
          <w:tcPr>
            <w:tcW w:w="4355" w:type="dxa"/>
            <w:shd w:val="clear" w:color="auto" w:fill="auto"/>
          </w:tcPr>
          <w:p w:rsidR="00893436" w:rsidRPr="00163C8E" w:rsidRDefault="00BA7F5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根据相关法律法规规定，基金向投资者分配的基金收益，暂免征收所得税。</w:t>
            </w:r>
          </w:p>
        </w:tc>
      </w:tr>
      <w:tr w:rsidR="00893436" w:rsidRPr="00163C8E" w:rsidTr="00AB1648">
        <w:trPr>
          <w:jc w:val="center"/>
        </w:trPr>
        <w:tc>
          <w:tcPr>
            <w:tcW w:w="4355" w:type="dxa"/>
          </w:tcPr>
          <w:p w:rsidR="00893436" w:rsidRPr="00163C8E" w:rsidRDefault="00893436" w:rsidP="0045170D">
            <w:pPr>
              <w:rPr>
                <w:rFonts w:asciiTheme="minorEastAsia" w:eastAsiaTheme="minorEastAsia" w:hAnsiTheme="minorEastAsia"/>
                <w:color w:val="000000"/>
                <w:sz w:val="24"/>
                <w:szCs w:val="24"/>
              </w:rPr>
            </w:pPr>
            <w:r w:rsidRPr="00163C8E">
              <w:rPr>
                <w:rFonts w:asciiTheme="minorEastAsia" w:eastAsiaTheme="minorEastAsia" w:hAnsiTheme="minorEastAsia"/>
                <w:color w:val="000000"/>
                <w:sz w:val="24"/>
                <w:szCs w:val="24"/>
              </w:rPr>
              <w:t>费用相关事项的说明</w:t>
            </w:r>
          </w:p>
        </w:tc>
        <w:tc>
          <w:tcPr>
            <w:tcW w:w="4355" w:type="dxa"/>
            <w:shd w:val="clear" w:color="auto" w:fill="auto"/>
          </w:tcPr>
          <w:p w:rsidR="00893436" w:rsidRPr="00163C8E" w:rsidRDefault="00BA7F58" w:rsidP="0045170D">
            <w:pPr>
              <w:rPr>
                <w:rFonts w:asciiTheme="minorEastAsia" w:eastAsiaTheme="minorEastAsia" w:hAnsiTheme="minorEastAsia"/>
                <w:sz w:val="24"/>
                <w:szCs w:val="24"/>
              </w:rPr>
            </w:pPr>
            <w:r w:rsidRPr="00163C8E">
              <w:rPr>
                <w:rFonts w:asciiTheme="minorEastAsia" w:eastAsiaTheme="minorEastAsia" w:hAnsiTheme="minorEastAsia"/>
                <w:sz w:val="24"/>
                <w:szCs w:val="24"/>
              </w:rPr>
              <w:t>本基金本次分红免收分红手续费。</w:t>
            </w:r>
          </w:p>
        </w:tc>
      </w:tr>
    </w:tbl>
    <w:p w:rsidR="00893436" w:rsidRPr="00163C8E" w:rsidRDefault="00893436" w:rsidP="0045170D">
      <w:pPr>
        <w:pStyle w:val="2"/>
        <w:spacing w:line="360" w:lineRule="auto"/>
        <w:rPr>
          <w:rFonts w:asciiTheme="minorEastAsia" w:eastAsiaTheme="minorEastAsia" w:hAnsiTheme="minorEastAsia"/>
          <w:bCs w:val="0"/>
          <w:color w:val="000000"/>
          <w:sz w:val="24"/>
          <w:szCs w:val="24"/>
        </w:rPr>
      </w:pPr>
      <w:bookmarkStart w:id="3" w:name="_Toc275961420"/>
      <w:r w:rsidRPr="00163C8E">
        <w:rPr>
          <w:rFonts w:asciiTheme="minorEastAsia" w:eastAsiaTheme="minorEastAsia" w:hAnsiTheme="minorEastAsia"/>
          <w:bCs w:val="0"/>
          <w:color w:val="000000"/>
          <w:sz w:val="24"/>
          <w:szCs w:val="24"/>
        </w:rPr>
        <w:t>3</w:t>
      </w:r>
      <w:r w:rsidR="00471130">
        <w:rPr>
          <w:rFonts w:asciiTheme="minorEastAsia" w:eastAsiaTheme="minorEastAsia" w:hAnsiTheme="minorEastAsia"/>
          <w:bCs w:val="0"/>
          <w:color w:val="000000"/>
          <w:sz w:val="24"/>
          <w:szCs w:val="24"/>
        </w:rPr>
        <w:t>.</w:t>
      </w:r>
      <w:r w:rsidRPr="00163C8E">
        <w:rPr>
          <w:rFonts w:asciiTheme="minorEastAsia" w:eastAsiaTheme="minorEastAsia" w:hAnsiTheme="minorEastAsia"/>
          <w:bCs w:val="0"/>
          <w:color w:val="000000"/>
          <w:sz w:val="24"/>
          <w:szCs w:val="24"/>
        </w:rPr>
        <w:t xml:space="preserve"> 其他需要提示的事项</w:t>
      </w:r>
      <w:bookmarkEnd w:id="3"/>
    </w:p>
    <w:p w:rsidR="00DB7CFE" w:rsidRDefault="00C3767F">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（1）权益登记日申请申购的基金份额不享有本次分红权益，权益登记日申请赎回的基金份额享有本次分红权益。</w:t>
      </w:r>
    </w:p>
    <w:p w:rsidR="00DB7CFE" w:rsidRDefault="00C3767F">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（2）对于未选择具体分红方式的投资者，本基金默认的分红方式为现金分红。</w:t>
      </w:r>
    </w:p>
    <w:p w:rsidR="00DB7CFE" w:rsidRDefault="00C3767F">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（3）投资者可以在工作日的交易时间内到销售网点修改分红方式，本次分红确认的方式将按照投资者在权益登记日之前（不含2023年11月28日）最后</w:t>
      </w:r>
      <w:r>
        <w:rPr>
          <w:rFonts w:asciiTheme="minorEastAsia" w:eastAsiaTheme="minorEastAsia" w:hAnsiTheme="minorEastAsia"/>
          <w:sz w:val="24"/>
          <w:szCs w:val="24"/>
        </w:rPr>
        <w:lastRenderedPageBreak/>
        <w:t>一次选择的分红方式为准。请投资者到销售网点或通过本公司客户服务电话95105828或020-83936999确认分红方式是否正确，如不正确或希望修改分红方式的，请务必在规定时间前到销售网点办理变更手续。</w:t>
      </w:r>
    </w:p>
    <w:p w:rsidR="00DB7CFE" w:rsidRDefault="00C3767F">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投资者通过某一销售机构指定交易账户按基金代码提交的分红方式变更申请，只对投资者在该销售机构指定交易账户下的基金份额有效，并不改变投资者在该销售机构其他交易账户或其他销售机构下的基金份额的分红方式。如投资者希望变更该销售机构其他交易账户或其他销售机构下的基金份额的分红方式，需分别按基金代码通过各销售机构交易账户逐一提交变更分红方式的业务申请。详见本公司于2023年2月23日发布的《广发基金管理有限公司关于调整旗下部分开放式基金分红方式变更规则的公告》。</w:t>
      </w:r>
    </w:p>
    <w:p w:rsidR="00DB7CFE" w:rsidRDefault="00C3767F">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（5）建议基金份额持有人在修改分红方式后，在T+2日（申请修改分红方式之日为T日）后（含T+2日）向销售网点或本公司确认分红方式的修改是否成功。</w:t>
      </w:r>
    </w:p>
    <w:p w:rsidR="00DB7CFE" w:rsidRDefault="00C3767F">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风险提示：本基金分红并不改变本基金的风险收益特征，也不会因此降低基金投资风险或提高基金投资收益。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投资者欲了解有关分红的情况，可到办理业务的当地销售网点查询，也可以登录本公司网站（www.gffunds.com.cn）或拨打本公司客户服务电话95105828或020-83936999咨询相关事宜。</w:t>
      </w:r>
    </w:p>
    <w:p w:rsidR="00364C2A" w:rsidRDefault="00284B1B" w:rsidP="009C1EEE">
      <w:pPr>
        <w:ind w:firstLineChars="200" w:firstLine="480"/>
        <w:rPr>
          <w:rFonts w:asciiTheme="minorEastAsia" w:eastAsiaTheme="minorEastAsia" w:hAnsiTheme="minorEastAsia"/>
          <w:sz w:val="24"/>
          <w:szCs w:val="24"/>
        </w:rPr>
      </w:pPr>
      <w:r w:rsidRPr="00163C8E">
        <w:rPr>
          <w:rFonts w:asciiTheme="minorEastAsia" w:eastAsiaTheme="minorEastAsia" w:hAnsiTheme="minorEastAsia"/>
          <w:sz w:val="24"/>
          <w:szCs w:val="24"/>
        </w:rPr>
        <w:t>特此公告。</w:t>
      </w:r>
    </w:p>
    <w:p w:rsidR="00D42971" w:rsidRDefault="00D42971" w:rsidP="00B62BBC">
      <w:pPr>
        <w:ind w:firstLineChars="200" w:firstLine="480"/>
        <w:rPr>
          <w:rFonts w:asciiTheme="minorEastAsia" w:eastAsiaTheme="minorEastAsia" w:hAnsiTheme="minorEastAsia"/>
          <w:sz w:val="24"/>
          <w:szCs w:val="24"/>
        </w:rPr>
      </w:pPr>
    </w:p>
    <w:p w:rsidR="00D42971" w:rsidRDefault="00D42971" w:rsidP="00B62BBC">
      <w:pPr>
        <w:ind w:firstLineChars="200" w:firstLine="480"/>
        <w:rPr>
          <w:rFonts w:asciiTheme="minorEastAsia" w:eastAsiaTheme="minorEastAsia" w:hAnsiTheme="minorEastAsia"/>
          <w:sz w:val="24"/>
          <w:szCs w:val="24"/>
        </w:rPr>
      </w:pPr>
    </w:p>
    <w:p w:rsidR="00D42971" w:rsidRPr="006B3988" w:rsidRDefault="00D42971" w:rsidP="00D42971">
      <w:pPr>
        <w:jc w:val="right"/>
        <w:rPr>
          <w:rFonts w:asciiTheme="minorEastAsia" w:eastAsiaTheme="minorEastAsia" w:hAnsiTheme="minorEastAsia"/>
          <w:bCs/>
          <w:color w:val="000000" w:themeColor="text1"/>
          <w:sz w:val="24"/>
          <w:szCs w:val="24"/>
        </w:rPr>
      </w:pPr>
      <w:r w:rsidRPr="006B3988">
        <w:rPr>
          <w:rFonts w:asciiTheme="minorEastAsia" w:eastAsiaTheme="minorEastAsia" w:hAnsiTheme="minorEastAsia"/>
          <w:bCs/>
          <w:color w:val="000000" w:themeColor="text1"/>
          <w:sz w:val="24"/>
          <w:szCs w:val="24"/>
        </w:rPr>
        <w:t>广发基金管理有限公司</w:t>
      </w:r>
    </w:p>
    <w:p w:rsidR="00D42971" w:rsidRPr="006B3988" w:rsidRDefault="00D42971" w:rsidP="00D42971">
      <w:pPr>
        <w:jc w:val="right"/>
        <w:rPr>
          <w:rFonts w:asciiTheme="minorEastAsia" w:eastAsiaTheme="minorEastAsia" w:hAnsiTheme="minorEastAsia"/>
          <w:color w:val="000000"/>
          <w:sz w:val="24"/>
          <w:szCs w:val="24"/>
        </w:rPr>
      </w:pPr>
      <w:r w:rsidRPr="006B3988">
        <w:rPr>
          <w:rFonts w:asciiTheme="minorEastAsia" w:eastAsiaTheme="minorEastAsia" w:hAnsiTheme="minorEastAsia"/>
          <w:bCs/>
          <w:color w:val="000000" w:themeColor="text1"/>
          <w:sz w:val="24"/>
          <w:szCs w:val="24"/>
        </w:rPr>
        <w:t>2023年11月25日</w:t>
      </w:r>
    </w:p>
    <w:sectPr w:rsidR="00D42971" w:rsidRPr="006B3988" w:rsidSect="00111B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67F" w:rsidRDefault="00C3767F" w:rsidP="00893436">
      <w:r>
        <w:separator/>
      </w:r>
    </w:p>
  </w:endnote>
  <w:endnote w:type="continuationSeparator" w:id="0">
    <w:p w:rsidR="00C3767F" w:rsidRDefault="00C3767F" w:rsidP="008934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67F" w:rsidRDefault="00C3767F" w:rsidP="00893436">
      <w:r>
        <w:separator/>
      </w:r>
    </w:p>
  </w:footnote>
  <w:footnote w:type="continuationSeparator" w:id="0">
    <w:p w:rsidR="00C3767F" w:rsidRDefault="00C3767F" w:rsidP="008934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3436"/>
    <w:rsid w:val="0003087A"/>
    <w:rsid w:val="00034E9D"/>
    <w:rsid w:val="00041353"/>
    <w:rsid w:val="00050B9B"/>
    <w:rsid w:val="00057AC1"/>
    <w:rsid w:val="00085F5C"/>
    <w:rsid w:val="0009778C"/>
    <w:rsid w:val="000A19B2"/>
    <w:rsid w:val="000A27C1"/>
    <w:rsid w:val="000C39F6"/>
    <w:rsid w:val="000D591B"/>
    <w:rsid w:val="00111BD0"/>
    <w:rsid w:val="00135CA1"/>
    <w:rsid w:val="0016074B"/>
    <w:rsid w:val="00163C8E"/>
    <w:rsid w:val="001902DB"/>
    <w:rsid w:val="001E527A"/>
    <w:rsid w:val="001F1299"/>
    <w:rsid w:val="00226206"/>
    <w:rsid w:val="00242E4D"/>
    <w:rsid w:val="00284B1B"/>
    <w:rsid w:val="002971E2"/>
    <w:rsid w:val="002A63B7"/>
    <w:rsid w:val="002C6F7A"/>
    <w:rsid w:val="003160F8"/>
    <w:rsid w:val="00345749"/>
    <w:rsid w:val="00362297"/>
    <w:rsid w:val="00363C21"/>
    <w:rsid w:val="00384E8B"/>
    <w:rsid w:val="0039192C"/>
    <w:rsid w:val="003C1DC1"/>
    <w:rsid w:val="003E51F2"/>
    <w:rsid w:val="003F244E"/>
    <w:rsid w:val="00410642"/>
    <w:rsid w:val="0041308C"/>
    <w:rsid w:val="00413675"/>
    <w:rsid w:val="0045170D"/>
    <w:rsid w:val="00471130"/>
    <w:rsid w:val="00486934"/>
    <w:rsid w:val="004966BA"/>
    <w:rsid w:val="004B608B"/>
    <w:rsid w:val="004D6DAF"/>
    <w:rsid w:val="004F17E3"/>
    <w:rsid w:val="0050279B"/>
    <w:rsid w:val="00506E3A"/>
    <w:rsid w:val="00517111"/>
    <w:rsid w:val="005444A0"/>
    <w:rsid w:val="005715B6"/>
    <w:rsid w:val="005A0A04"/>
    <w:rsid w:val="005D4DB0"/>
    <w:rsid w:val="005E3E4F"/>
    <w:rsid w:val="00602C3F"/>
    <w:rsid w:val="00605A2A"/>
    <w:rsid w:val="006369D9"/>
    <w:rsid w:val="0065409A"/>
    <w:rsid w:val="006A2E06"/>
    <w:rsid w:val="006A32B1"/>
    <w:rsid w:val="006B3988"/>
    <w:rsid w:val="006F346A"/>
    <w:rsid w:val="007111D7"/>
    <w:rsid w:val="0071610E"/>
    <w:rsid w:val="00721B55"/>
    <w:rsid w:val="00752CA8"/>
    <w:rsid w:val="00792262"/>
    <w:rsid w:val="00797F6D"/>
    <w:rsid w:val="007A7E6B"/>
    <w:rsid w:val="007B25DC"/>
    <w:rsid w:val="007B3404"/>
    <w:rsid w:val="007C0792"/>
    <w:rsid w:val="00855617"/>
    <w:rsid w:val="008625D5"/>
    <w:rsid w:val="00893436"/>
    <w:rsid w:val="008D004F"/>
    <w:rsid w:val="008D1F66"/>
    <w:rsid w:val="009302F7"/>
    <w:rsid w:val="009732A4"/>
    <w:rsid w:val="009A14F4"/>
    <w:rsid w:val="009C1EEE"/>
    <w:rsid w:val="009E4538"/>
    <w:rsid w:val="00A81C93"/>
    <w:rsid w:val="00AB1648"/>
    <w:rsid w:val="00AC5908"/>
    <w:rsid w:val="00B07002"/>
    <w:rsid w:val="00B238B4"/>
    <w:rsid w:val="00B44BBE"/>
    <w:rsid w:val="00B53CF8"/>
    <w:rsid w:val="00B61A93"/>
    <w:rsid w:val="00B62BBC"/>
    <w:rsid w:val="00BA7F58"/>
    <w:rsid w:val="00BD258E"/>
    <w:rsid w:val="00BD7533"/>
    <w:rsid w:val="00BF5698"/>
    <w:rsid w:val="00C27DE7"/>
    <w:rsid w:val="00C33DDD"/>
    <w:rsid w:val="00C3767F"/>
    <w:rsid w:val="00C63F26"/>
    <w:rsid w:val="00CB3D18"/>
    <w:rsid w:val="00CC53FB"/>
    <w:rsid w:val="00D249B9"/>
    <w:rsid w:val="00D3704B"/>
    <w:rsid w:val="00D42971"/>
    <w:rsid w:val="00D86E7B"/>
    <w:rsid w:val="00DA77C4"/>
    <w:rsid w:val="00DB6924"/>
    <w:rsid w:val="00DB7CFE"/>
    <w:rsid w:val="00DF7FF4"/>
    <w:rsid w:val="00E24390"/>
    <w:rsid w:val="00E379B4"/>
    <w:rsid w:val="00E47FD7"/>
    <w:rsid w:val="00E54795"/>
    <w:rsid w:val="00E81DA9"/>
    <w:rsid w:val="00EA44B8"/>
    <w:rsid w:val="00EB7A77"/>
    <w:rsid w:val="00F0033B"/>
    <w:rsid w:val="00F055D7"/>
    <w:rsid w:val="00F21696"/>
    <w:rsid w:val="00F27863"/>
    <w:rsid w:val="00F45E48"/>
    <w:rsid w:val="00FE0A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F6D"/>
    <w:pPr>
      <w:widowControl w:val="0"/>
      <w:spacing w:line="360" w:lineRule="auto"/>
      <w:jc w:val="both"/>
    </w:pPr>
    <w:rPr>
      <w:rFonts w:ascii="Times New Roman" w:eastAsia="方正仿宋简体" w:hAnsi="Times New Roman" w:cs="Times New Roman"/>
      <w:sz w:val="32"/>
      <w:szCs w:val="20"/>
    </w:rPr>
  </w:style>
  <w:style w:type="paragraph" w:styleId="1">
    <w:name w:val="heading 1"/>
    <w:basedOn w:val="a"/>
    <w:next w:val="a"/>
    <w:link w:val="1Char"/>
    <w:qFormat/>
    <w:rsid w:val="008934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893436"/>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93436"/>
    <w:rPr>
      <w:rFonts w:ascii="Times New Roman" w:eastAsia="宋体" w:hAnsi="Times New Roman" w:cs="Times New Roman"/>
      <w:b/>
      <w:bCs/>
      <w:kern w:val="44"/>
      <w:sz w:val="44"/>
      <w:szCs w:val="44"/>
    </w:rPr>
  </w:style>
  <w:style w:type="character" w:customStyle="1" w:styleId="2Char">
    <w:name w:val="标题 2 Char"/>
    <w:basedOn w:val="a0"/>
    <w:link w:val="2"/>
    <w:rsid w:val="00893436"/>
    <w:rPr>
      <w:rFonts w:ascii="Arial" w:eastAsia="黑体" w:hAnsi="Arial" w:cs="Times New Roman"/>
      <w:b/>
      <w:bCs/>
      <w:sz w:val="32"/>
      <w:szCs w:val="32"/>
    </w:rPr>
  </w:style>
  <w:style w:type="character" w:styleId="a3">
    <w:name w:val="footnote reference"/>
    <w:basedOn w:val="a0"/>
    <w:rsid w:val="00893436"/>
    <w:rPr>
      <w:vertAlign w:val="superscript"/>
    </w:rPr>
  </w:style>
  <w:style w:type="paragraph" w:styleId="a4">
    <w:name w:val="footnote text"/>
    <w:basedOn w:val="a"/>
    <w:link w:val="Char"/>
    <w:rsid w:val="00893436"/>
    <w:pPr>
      <w:snapToGrid w:val="0"/>
      <w:jc w:val="left"/>
    </w:pPr>
    <w:rPr>
      <w:rFonts w:eastAsia="宋体"/>
      <w:sz w:val="18"/>
    </w:rPr>
  </w:style>
  <w:style w:type="character" w:customStyle="1" w:styleId="Char">
    <w:name w:val="脚注文本 Char"/>
    <w:basedOn w:val="a0"/>
    <w:link w:val="a4"/>
    <w:rsid w:val="00893436"/>
    <w:rPr>
      <w:rFonts w:ascii="Times New Roman" w:eastAsia="宋体" w:hAnsi="Times New Roman" w:cs="Times New Roman"/>
      <w:sz w:val="18"/>
      <w:szCs w:val="20"/>
    </w:rPr>
  </w:style>
  <w:style w:type="paragraph" w:styleId="a5">
    <w:name w:val="Document Map"/>
    <w:basedOn w:val="a"/>
    <w:link w:val="Char0"/>
    <w:uiPriority w:val="99"/>
    <w:semiHidden/>
    <w:unhideWhenUsed/>
    <w:rsid w:val="00893436"/>
    <w:rPr>
      <w:rFonts w:ascii="宋体" w:eastAsia="宋体"/>
      <w:sz w:val="18"/>
      <w:szCs w:val="18"/>
    </w:rPr>
  </w:style>
  <w:style w:type="character" w:customStyle="1" w:styleId="Char0">
    <w:name w:val="文档结构图 Char"/>
    <w:basedOn w:val="a0"/>
    <w:link w:val="a5"/>
    <w:uiPriority w:val="99"/>
    <w:semiHidden/>
    <w:rsid w:val="00893436"/>
    <w:rPr>
      <w:rFonts w:ascii="宋体" w:eastAsia="宋体" w:hAnsi="Times New Roman" w:cs="Times New Roman"/>
      <w:sz w:val="18"/>
      <w:szCs w:val="18"/>
    </w:rPr>
  </w:style>
  <w:style w:type="paragraph" w:styleId="a6">
    <w:name w:val="header"/>
    <w:basedOn w:val="a"/>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160F8"/>
    <w:rPr>
      <w:rFonts w:ascii="Times New Roman" w:eastAsia="方正仿宋简体" w:hAnsi="Times New Roman" w:cs="Times New Roman"/>
      <w:sz w:val="18"/>
      <w:szCs w:val="18"/>
    </w:rPr>
  </w:style>
  <w:style w:type="paragraph" w:styleId="a7">
    <w:name w:val="footer"/>
    <w:basedOn w:val="a"/>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a0"/>
    <w:link w:val="a7"/>
    <w:uiPriority w:val="99"/>
    <w:rsid w:val="003160F8"/>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44BBE"/>
    <w:rPr>
      <w:sz w:val="18"/>
      <w:szCs w:val="18"/>
    </w:rPr>
  </w:style>
  <w:style w:type="character" w:customStyle="1" w:styleId="Char3">
    <w:name w:val="批注框文本 Char"/>
    <w:basedOn w:val="a0"/>
    <w:link w:val="a8"/>
    <w:uiPriority w:val="99"/>
    <w:semiHidden/>
    <w:rsid w:val="00B44BBE"/>
    <w:rPr>
      <w:rFonts w:ascii="Times New Roman" w:eastAsia="方正仿宋简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02455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310</Words>
  <Characters>1767</Characters>
  <Application>Microsoft Office Word</Application>
  <DocSecurity>4</DocSecurity>
  <Lines>14</Lines>
  <Paragraphs>4</Paragraphs>
  <ScaleCrop>false</ScaleCrop>
  <Company>微软中国</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2023-11-24T16:01:00Z</dcterms:created>
  <dcterms:modified xsi:type="dcterms:W3CDTF">2023-11-24T16:01:00Z</dcterms:modified>
</cp:coreProperties>
</file>