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BBE" w:rsidRDefault="004A6BBE">
      <w:pPr>
        <w:pStyle w:val="XBRL2"/>
        <w:spacing w:before="156"/>
        <w:rPr>
          <w:lang w:eastAsia="zh-CN"/>
        </w:rPr>
      </w:pPr>
      <w:bookmarkStart w:id="0" w:name="_Toc510201001"/>
      <w:bookmarkEnd w:id="0"/>
      <w:r>
        <w:rPr>
          <w:lang w:eastAsia="zh-CN"/>
        </w:rPr>
        <w:t xml:space="preserve">　</w:t>
      </w:r>
      <w:r>
        <w:rPr>
          <w:lang w:eastAsia="zh-CN"/>
        </w:rPr>
        <w:t xml:space="preserve"> </w:t>
      </w:r>
    </w:p>
    <w:p w:rsidR="003F2130" w:rsidRDefault="004A6BBE">
      <w:pPr>
        <w:jc w:val="center"/>
        <w:rPr>
          <w:rFonts w:cs="Times New Roman"/>
          <w:b/>
          <w:sz w:val="48"/>
          <w:szCs w:val="48"/>
        </w:rPr>
      </w:pPr>
      <w:r>
        <w:rPr>
          <w:rFonts w:cs="Times New Roman" w:hint="eastAsia"/>
          <w:b/>
          <w:sz w:val="48"/>
          <w:szCs w:val="48"/>
        </w:rPr>
        <w:t>泰信行业精选灵活配置混合型证券投资</w:t>
      </w:r>
    </w:p>
    <w:p w:rsidR="004A6BBE" w:rsidRPr="003F2130" w:rsidRDefault="004A6BBE" w:rsidP="003F2130">
      <w:pPr>
        <w:jc w:val="center"/>
        <w:rPr>
          <w:rFonts w:hint="eastAsia"/>
        </w:rPr>
      </w:pPr>
      <w:r>
        <w:rPr>
          <w:rFonts w:cs="Times New Roman" w:hint="eastAsia"/>
          <w:b/>
          <w:sz w:val="48"/>
          <w:szCs w:val="48"/>
        </w:rPr>
        <w:t>基金分红公告</w:t>
      </w:r>
    </w:p>
    <w:p w:rsidR="004A6BBE" w:rsidRPr="00C97A49" w:rsidRDefault="004A6BBE">
      <w:pPr>
        <w:pStyle w:val="TOC2"/>
        <w:tabs>
          <w:tab w:val="right" w:leader="dot" w:pos="8835"/>
        </w:tabs>
        <w:divId w:val="269893564"/>
        <w:rPr>
          <w:rFonts w:ascii="Calibri" w:hAnsi="Calibri" w:cs="Times New Roman" w:hint="eastAsia"/>
          <w:noProof/>
          <w:vanish/>
          <w:szCs w:val="22"/>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C97A49">
        <w:rPr>
          <w:rFonts w:ascii="Calibri" w:hAnsi="Calibri" w:cs="Times New Roman"/>
          <w:noProof/>
          <w:vanish/>
          <w:szCs w:val="22"/>
        </w:rPr>
        <w:t xml:space="preserve"> </w:t>
      </w:r>
    </w:p>
    <w:p w:rsidR="004A6BBE" w:rsidRPr="00C97A49" w:rsidRDefault="004A6BBE">
      <w:pPr>
        <w:pStyle w:val="TOC2"/>
        <w:tabs>
          <w:tab w:val="right" w:leader="dot" w:pos="8835"/>
        </w:tabs>
        <w:divId w:val="269893564"/>
        <w:rPr>
          <w:rFonts w:ascii="Calibri" w:hAnsi="Calibri" w:cs="Times New Roman"/>
          <w:noProof/>
          <w:vanish/>
          <w:szCs w:val="22"/>
        </w:rPr>
      </w:pPr>
      <w:hyperlink w:anchor="_Toc34322059" w:history="1">
        <w:r>
          <w:rPr>
            <w:rStyle w:val="a3"/>
            <w:rFonts w:hint="eastAsia"/>
            <w:noProof/>
            <w:vanish/>
          </w:rPr>
          <w:t>1.公告基本信息</w:t>
        </w:r>
      </w:hyperlink>
      <w:r w:rsidRPr="00C97A49">
        <w:rPr>
          <w:rFonts w:ascii="Calibri" w:hAnsi="Calibri" w:cs="Times New Roman"/>
          <w:noProof/>
          <w:vanish/>
          <w:szCs w:val="22"/>
        </w:rPr>
        <w:t xml:space="preserve"> </w:t>
      </w:r>
    </w:p>
    <w:p w:rsidR="004A6BBE" w:rsidRPr="00C97A49" w:rsidRDefault="004A6BBE">
      <w:pPr>
        <w:pStyle w:val="TOC2"/>
        <w:tabs>
          <w:tab w:val="right" w:leader="dot" w:pos="8835"/>
        </w:tabs>
        <w:divId w:val="269893564"/>
        <w:rPr>
          <w:rFonts w:ascii="Calibri" w:hAnsi="Calibri" w:cs="Times New Roman"/>
          <w:noProof/>
          <w:vanish/>
          <w:szCs w:val="22"/>
        </w:rPr>
      </w:pPr>
      <w:hyperlink w:anchor="_Toc34322060" w:history="1">
        <w:r>
          <w:rPr>
            <w:rStyle w:val="a3"/>
            <w:rFonts w:hint="eastAsia"/>
            <w:noProof/>
            <w:vanish/>
          </w:rPr>
          <w:t>2.与分红相关的其他信息</w:t>
        </w:r>
      </w:hyperlink>
      <w:r w:rsidRPr="00C97A49">
        <w:rPr>
          <w:rFonts w:ascii="Calibri" w:hAnsi="Calibri" w:cs="Times New Roman"/>
          <w:noProof/>
          <w:vanish/>
          <w:szCs w:val="22"/>
        </w:rPr>
        <w:t xml:space="preserve"> </w:t>
      </w:r>
    </w:p>
    <w:p w:rsidR="004A6BBE" w:rsidRPr="00C97A49" w:rsidRDefault="004A6BBE">
      <w:pPr>
        <w:pStyle w:val="TOC2"/>
        <w:tabs>
          <w:tab w:val="right" w:leader="dot" w:pos="8835"/>
        </w:tabs>
        <w:divId w:val="269893564"/>
        <w:rPr>
          <w:rFonts w:ascii="Calibri" w:hAnsi="Calibri" w:cs="Times New Roman"/>
          <w:noProof/>
          <w:vanish/>
          <w:szCs w:val="22"/>
        </w:rPr>
      </w:pPr>
      <w:hyperlink w:anchor="_Toc34322063" w:history="1">
        <w:r>
          <w:rPr>
            <w:rStyle w:val="a3"/>
            <w:rFonts w:hint="eastAsia"/>
            <w:noProof/>
            <w:vanish/>
          </w:rPr>
          <w:t>3.其他需要提示的事项</w:t>
        </w:r>
      </w:hyperlink>
      <w:r w:rsidRPr="00C97A49">
        <w:rPr>
          <w:rFonts w:ascii="Calibri" w:hAnsi="Calibri" w:cs="Times New Roman"/>
          <w:noProof/>
          <w:vanish/>
          <w:szCs w:val="22"/>
        </w:rPr>
        <w:t xml:space="preserve"> </w:t>
      </w:r>
    </w:p>
    <w:p w:rsidR="004A6BBE" w:rsidRDefault="004A6BBE" w:rsidP="003F2130">
      <w:pPr>
        <w:spacing w:line="560" w:lineRule="exact"/>
        <w:jc w:val="center"/>
        <w:rPr>
          <w:rFonts w:hint="eastAsia"/>
          <w:color w:val="000000"/>
          <w:kern w:val="0"/>
          <w:sz w:val="18"/>
        </w:rPr>
      </w:pPr>
      <w:r>
        <w:rPr>
          <w:rFonts w:hint="eastAsia"/>
          <w:color w:val="000000"/>
          <w:kern w:val="0"/>
          <w:sz w:val="18"/>
        </w:rPr>
        <w:fldChar w:fldCharType="end"/>
      </w:r>
    </w:p>
    <w:p w:rsidR="004A6BBE" w:rsidRDefault="004A6BBE">
      <w:pPr>
        <w:spacing w:line="360" w:lineRule="auto"/>
        <w:jc w:val="center"/>
        <w:rPr>
          <w:b/>
          <w:bCs/>
          <w:sz w:val="24"/>
          <w:szCs w:val="30"/>
        </w:rPr>
      </w:pPr>
      <w:r>
        <w:rPr>
          <w:rFonts w:hint="eastAsia"/>
          <w:b/>
          <w:bCs/>
          <w:sz w:val="24"/>
          <w:szCs w:val="30"/>
        </w:rPr>
        <w:t>公告送出日期：2023年11月21日</w:t>
      </w:r>
    </w:p>
    <w:p w:rsidR="004A6BBE" w:rsidRDefault="004A6BBE">
      <w:pPr>
        <w:pStyle w:val="XBRLTitle1"/>
        <w:spacing w:before="156"/>
        <w:ind w:left="425"/>
        <w:jc w:val="left"/>
        <w:rPr>
          <w:rFonts w:hint="eastAsia"/>
          <w:szCs w:val="24"/>
        </w:rPr>
      </w:pP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tblBorders>
        <w:tblLayout w:type="fixed"/>
        <w:tblLook w:val="04A0"/>
      </w:tblPr>
      <w:tblGrid>
        <w:gridCol w:w="896"/>
        <w:gridCol w:w="2331"/>
        <w:gridCol w:w="2835"/>
        <w:gridCol w:w="2458"/>
      </w:tblGrid>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基金名称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泰信行业精选灵活配置混合型证券投资基金</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基金简称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泰信行业精选混合</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基金主代码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290012</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基金合同生效日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2015年3月4日</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基金管理人名称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泰信基金管理有限公司</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基金托管人名称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中信银行股份有限公司</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公告依据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《公开募集证券投资基金信息披露管理办法》、《泰信行业精选灵活配置混合型证券投资基金基金合同》</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收益分配基准日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2023年11月13日</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vAlign w:val="center"/>
            <w:hideMark/>
          </w:tcPr>
          <w:p w:rsidR="004A6BBE" w:rsidRDefault="004A6BBE">
            <w:pPr>
              <w:rPr>
                <w:rFonts w:hint="eastAsia"/>
                <w:szCs w:val="21"/>
              </w:rPr>
            </w:pPr>
            <w:r>
              <w:rPr>
                <w:rFonts w:hint="eastAsia"/>
                <w:szCs w:val="21"/>
              </w:rPr>
              <w:t xml:space="preserve">有关年度分红次数的说明 </w:t>
            </w:r>
          </w:p>
        </w:tc>
        <w:tc>
          <w:tcPr>
            <w:tcW w:w="5293"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2023年度第四次分红</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下属分级基金的基金简称 </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泰信行业精选混合A</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泰信行业精选混合C</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vAlign w:val="center"/>
            <w:hideMark/>
          </w:tcPr>
          <w:p w:rsidR="004A6BBE" w:rsidRDefault="004A6BBE">
            <w:pPr>
              <w:rPr>
                <w:rFonts w:hint="eastAsia"/>
                <w:szCs w:val="21"/>
              </w:rPr>
            </w:pPr>
            <w:r>
              <w:rPr>
                <w:rFonts w:hint="eastAsia"/>
                <w:szCs w:val="21"/>
              </w:rPr>
              <w:t xml:space="preserve">下属分级基金的交易代码 </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290012</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002583</w:t>
            </w:r>
          </w:p>
        </w:tc>
      </w:tr>
      <w:tr w:rsidR="004A6BBE" w:rsidTr="003F2130">
        <w:tc>
          <w:tcPr>
            <w:tcW w:w="896" w:type="dxa"/>
            <w:vMerge w:val="restart"/>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截止基准日下属分级基金的相关指标 </w:t>
            </w:r>
          </w:p>
        </w:tc>
        <w:tc>
          <w:tcPr>
            <w:tcW w:w="2331"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基准日下属分级基金份额净值（单位： 人民币元） </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1.890</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1.887</w:t>
            </w:r>
          </w:p>
        </w:tc>
      </w:tr>
      <w:tr w:rsidR="004A6BBE" w:rsidTr="003F2130">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4A6BBE" w:rsidRDefault="004A6BBE">
            <w:pPr>
              <w:widowControl/>
              <w:jc w:val="left"/>
              <w:rPr>
                <w:szCs w:val="21"/>
              </w:rPr>
            </w:pPr>
          </w:p>
        </w:tc>
        <w:tc>
          <w:tcPr>
            <w:tcW w:w="2331"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基准日下属分级基金可供分配利润（单位:人民币元） </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182,235,415.33</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46,108,072.54</w:t>
            </w:r>
          </w:p>
        </w:tc>
      </w:tr>
      <w:tr w:rsidR="004A6BBE" w:rsidTr="003F2130">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4A6BBE" w:rsidRDefault="004A6BBE">
            <w:pPr>
              <w:widowControl/>
              <w:jc w:val="left"/>
              <w:rPr>
                <w:szCs w:val="21"/>
              </w:rPr>
            </w:pPr>
          </w:p>
        </w:tc>
        <w:tc>
          <w:tcPr>
            <w:tcW w:w="2331"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截止基准日下属分级基金按照基金合同约定的分红比例计算的应分配金额（单位：人民币元）</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18,223,541.53</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4,610,807.25</w:t>
            </w:r>
          </w:p>
        </w:tc>
      </w:tr>
      <w:tr w:rsidR="004A6BBE" w:rsidTr="003F2130">
        <w:tc>
          <w:tcPr>
            <w:tcW w:w="3227" w:type="dxa"/>
            <w:gridSpan w:val="2"/>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szCs w:val="21"/>
              </w:rPr>
            </w:pPr>
            <w:r>
              <w:rPr>
                <w:rFonts w:hint="eastAsia"/>
                <w:szCs w:val="21"/>
              </w:rPr>
              <w:t xml:space="preserve">本次下属分级基金分红方案（单位：元/10份基金份额） </w:t>
            </w:r>
          </w:p>
        </w:tc>
        <w:tc>
          <w:tcPr>
            <w:tcW w:w="2835"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0.470</w:t>
            </w:r>
          </w:p>
        </w:tc>
        <w:tc>
          <w:tcPr>
            <w:tcW w:w="2458" w:type="dxa"/>
            <w:tcBorders>
              <w:top w:val="single" w:sz="4" w:space="0" w:color="000000"/>
              <w:left w:val="single" w:sz="4" w:space="0" w:color="000000"/>
              <w:bottom w:val="single" w:sz="4" w:space="0" w:color="000000"/>
              <w:right w:val="single" w:sz="4" w:space="0" w:color="000000"/>
            </w:tcBorders>
            <w:hideMark/>
          </w:tcPr>
          <w:p w:rsidR="004A6BBE" w:rsidRDefault="004A6BBE">
            <w:pPr>
              <w:rPr>
                <w:rFonts w:hint="eastAsia"/>
              </w:rPr>
            </w:pPr>
            <w:r>
              <w:rPr>
                <w:rFonts w:hint="eastAsia"/>
                <w:szCs w:val="21"/>
              </w:rPr>
              <w:t>0.470</w:t>
            </w:r>
          </w:p>
        </w:tc>
      </w:tr>
    </w:tbl>
    <w:p w:rsidR="004A6BBE" w:rsidRDefault="004A6BBE">
      <w:pPr>
        <w:adjustRightInd w:val="0"/>
        <w:snapToGrid w:val="0"/>
        <w:spacing w:beforeLines="50" w:line="360" w:lineRule="auto"/>
        <w:jc w:val="left"/>
        <w:rPr>
          <w:rFonts w:hint="eastAsia"/>
          <w:szCs w:val="24"/>
        </w:rPr>
      </w:pPr>
      <w:r>
        <w:rPr>
          <w:rFonts w:hint="eastAsia"/>
        </w:rPr>
        <w:t>注：</w:t>
      </w:r>
      <w:r>
        <w:rPr>
          <w:rFonts w:hint="eastAsia"/>
          <w:szCs w:val="24"/>
          <w:lang/>
        </w:rPr>
        <w:t xml:space="preserve">在符合有关基金分红条件的前提下，本基金每年收益分配次数最多为6次，每次收益分配比例不得低于该次收益分配基准日可供分配利润的10%。 </w:t>
      </w:r>
    </w:p>
    <w:p w:rsidR="004A6BBE" w:rsidRDefault="004A6BBE">
      <w:pPr>
        <w:pStyle w:val="XBRLTitle1"/>
        <w:spacing w:before="156" w:line="360" w:lineRule="auto"/>
        <w:ind w:left="425"/>
        <w:jc w:val="left"/>
        <w:rPr>
          <w:rFonts w:hAnsi="宋体" w:hint="eastAsia"/>
          <w:szCs w:val="24"/>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2023年11月22日</w:t>
            </w:r>
          </w:p>
        </w:tc>
      </w:tr>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2023年11月22日</w:t>
            </w:r>
          </w:p>
        </w:tc>
      </w:tr>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2023年11月23日</w:t>
            </w:r>
          </w:p>
        </w:tc>
      </w:tr>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权益登记日在本公司登记在册的本基金全体持有人。</w:t>
            </w:r>
          </w:p>
        </w:tc>
      </w:tr>
      <w:tr w:rsidR="004A6BBE">
        <w:tc>
          <w:tcPr>
            <w:tcW w:w="3927" w:type="dxa"/>
            <w:tcBorders>
              <w:top w:val="single" w:sz="4" w:space="0" w:color="auto"/>
              <w:left w:val="single" w:sz="4" w:space="0" w:color="auto"/>
              <w:bottom w:val="single" w:sz="4" w:space="0" w:color="auto"/>
              <w:right w:val="single" w:sz="4" w:space="0" w:color="auto"/>
            </w:tcBorders>
            <w:vAlign w:val="center"/>
            <w:hideMark/>
          </w:tcPr>
          <w:p w:rsidR="004A6BBE" w:rsidRDefault="004A6BBE">
            <w:pPr>
              <w:rPr>
                <w:rFonts w:hint="eastAsia"/>
                <w:szCs w:val="21"/>
              </w:rPr>
            </w:pPr>
            <w:r>
              <w:rPr>
                <w:rFonts w:hint="eastAsia"/>
                <w:szCs w:val="21"/>
              </w:rPr>
              <w:lastRenderedPageBreak/>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选择红利再投资方式的投资者所转换的基金份额将于2023年11月23日直接计入其基金账户。2023年11月24日起可以查询。</w:t>
            </w:r>
          </w:p>
        </w:tc>
      </w:tr>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根据财政部、国家税务总局的财税字［2002］128号《关于开放式证券投资基金有关税收问题的通知》，基金向投资者分配的基金收益，暂免征收所得税。</w:t>
            </w:r>
          </w:p>
        </w:tc>
      </w:tr>
      <w:tr w:rsidR="004A6BBE">
        <w:tc>
          <w:tcPr>
            <w:tcW w:w="3927"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szCs w:val="21"/>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A6BBE" w:rsidRDefault="004A6BBE">
            <w:pPr>
              <w:rPr>
                <w:rFonts w:hint="eastAsia"/>
              </w:rPr>
            </w:pPr>
            <w:r>
              <w:rPr>
                <w:rFonts w:hint="eastAsia"/>
                <w:szCs w:val="21"/>
              </w:rPr>
              <w:t>1、收益分配采用红利再投资方式免收再投资的费用。 2、收益分配时发生的银行转账等手续费用由基金份额持有人自行承担；如果基金份额持有人所获现金红利不足支付前述银行转账等手续费用，基金注册登记机构自动将该基金份额持有人的现金红利按权益登记日的基金份额净值转为基金份额。</w:t>
            </w:r>
          </w:p>
        </w:tc>
      </w:tr>
    </w:tbl>
    <w:p w:rsidR="004A6BBE" w:rsidRDefault="004A6BBE">
      <w:pPr>
        <w:adjustRightInd w:val="0"/>
        <w:snapToGrid w:val="0"/>
        <w:spacing w:beforeLines="50" w:line="360" w:lineRule="auto"/>
        <w:jc w:val="left"/>
        <w:rPr>
          <w:rFonts w:hint="eastAsia"/>
          <w:szCs w:val="24"/>
        </w:rPr>
      </w:pPr>
      <w:r>
        <w:rPr>
          <w:rFonts w:hint="eastAsia"/>
        </w:rPr>
        <w:t>注：</w:t>
      </w:r>
      <w:r>
        <w:rPr>
          <w:rFonts w:hint="eastAsia"/>
          <w:szCs w:val="24"/>
          <w:lang/>
        </w:rPr>
        <w:t xml:space="preserve">基金收益分配方式分为现金分红与红利再投资，投资者可选择现金红利或将现金红利按除权日各类基金份额的基金份额净值自动转为相应类别的基金份额进行再投资，且基金份额持有人可对A类、C类基金份额分别选择不同的分红方式；若投资者不选择，本基金默认的收益分配方式是现金分红。 </w:t>
      </w:r>
    </w:p>
    <w:p w:rsidR="004A6BBE" w:rsidRDefault="004A6BBE">
      <w:pPr>
        <w:pStyle w:val="XBRLTitle1"/>
        <w:spacing w:before="156" w:line="360" w:lineRule="auto"/>
        <w:ind w:left="425"/>
        <w:jc w:val="left"/>
        <w:rPr>
          <w:rFonts w:hAnsi="宋体" w:hint="eastAsia"/>
          <w:szCs w:val="24"/>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4A6BBE" w:rsidRDefault="004A6BBE">
      <w:pPr>
        <w:spacing w:line="360" w:lineRule="auto"/>
        <w:ind w:firstLineChars="200" w:firstLine="420"/>
        <w:jc w:val="left"/>
        <w:rPr>
          <w:rFonts w:hint="eastAsia"/>
        </w:rPr>
      </w:pPr>
      <w:r>
        <w:rPr>
          <w:rFonts w:hint="eastAsia"/>
          <w:szCs w:val="21"/>
        </w:rPr>
        <w:t xml:space="preserve">投资者欲了解有关分红的详细情况，可通过本公司客户服务中心查询。　</w:t>
      </w:r>
      <w:r>
        <w:rPr>
          <w:rFonts w:hint="eastAsia"/>
          <w:szCs w:val="21"/>
        </w:rPr>
        <w:br/>
        <w:t xml:space="preserve">　　网址：www.ftfund.com　客户服务热线：400-888-5988、021－38784566。</w:t>
      </w:r>
    </w:p>
    <w:p w:rsidR="004A6BBE" w:rsidRDefault="004A6BBE">
      <w:pPr>
        <w:spacing w:line="360" w:lineRule="auto"/>
        <w:ind w:firstLineChars="600" w:firstLine="1446"/>
        <w:jc w:val="right"/>
        <w:rPr>
          <w:rFonts w:hint="eastAsia"/>
          <w:b/>
          <w:bCs/>
          <w:sz w:val="24"/>
          <w:szCs w:val="30"/>
        </w:rPr>
      </w:pPr>
      <w:r>
        <w:rPr>
          <w:rFonts w:hint="eastAsia"/>
          <w:b/>
          <w:bCs/>
          <w:sz w:val="24"/>
          <w:szCs w:val="30"/>
        </w:rPr>
        <w:t xml:space="preserve">　 </w:t>
      </w:r>
    </w:p>
    <w:p w:rsidR="004A6BBE" w:rsidRDefault="004A6BBE">
      <w:pPr>
        <w:spacing w:line="360" w:lineRule="auto"/>
        <w:ind w:firstLineChars="600" w:firstLine="1446"/>
        <w:jc w:val="right"/>
        <w:rPr>
          <w:rFonts w:hint="eastAsia"/>
          <w:b/>
          <w:bCs/>
          <w:sz w:val="24"/>
          <w:szCs w:val="30"/>
        </w:rPr>
      </w:pPr>
      <w:r>
        <w:rPr>
          <w:rFonts w:hint="eastAsia"/>
          <w:b/>
          <w:bCs/>
          <w:sz w:val="24"/>
          <w:szCs w:val="30"/>
        </w:rPr>
        <w:t xml:space="preserve">　 </w:t>
      </w:r>
    </w:p>
    <w:p w:rsidR="004A6BBE" w:rsidRDefault="004A6BBE">
      <w:pPr>
        <w:spacing w:line="360" w:lineRule="auto"/>
        <w:ind w:firstLineChars="600" w:firstLine="1446"/>
        <w:jc w:val="right"/>
        <w:rPr>
          <w:rFonts w:hint="eastAsia"/>
        </w:rPr>
      </w:pPr>
      <w:r>
        <w:rPr>
          <w:rFonts w:hint="eastAsia"/>
          <w:b/>
          <w:bCs/>
          <w:sz w:val="24"/>
          <w:szCs w:val="24"/>
        </w:rPr>
        <w:t>泰信基金管理有限公司</w:t>
      </w:r>
    </w:p>
    <w:p w:rsidR="004A6BBE" w:rsidRDefault="004A6BBE">
      <w:pPr>
        <w:spacing w:line="360" w:lineRule="auto"/>
        <w:ind w:firstLineChars="600" w:firstLine="1446"/>
        <w:jc w:val="right"/>
        <w:rPr>
          <w:rFonts w:hint="eastAsia"/>
        </w:rPr>
      </w:pPr>
      <w:r>
        <w:rPr>
          <w:rFonts w:hint="eastAsia"/>
          <w:b/>
          <w:bCs/>
          <w:sz w:val="24"/>
          <w:szCs w:val="24"/>
        </w:rPr>
        <w:t>2023年11月21日</w:t>
      </w:r>
      <w:bookmarkEnd w:id="31"/>
    </w:p>
    <w:sectPr w:rsidR="004A6BBE">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38A" w:rsidRDefault="00F5738A">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F5738A" w:rsidRDefault="00F5738A">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E" w:rsidRDefault="004A6BBE">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B72B5B">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B72B5B">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38A" w:rsidRDefault="00F5738A">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F5738A" w:rsidRDefault="00F5738A">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BBE" w:rsidRDefault="004A6BBE">
    <w:pPr>
      <w:pStyle w:val="a8"/>
      <w:jc w:val="right"/>
      <w:rPr>
        <w:rFonts w:hint="eastAsia"/>
      </w:rPr>
    </w:pPr>
    <w:r>
      <w:rPr>
        <w:rFonts w:hint="eastAsia"/>
      </w:rPr>
      <w:t>泰信行业精选灵活配置混合型证券投资基金分红公告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7A49"/>
    <w:rsid w:val="003F2130"/>
    <w:rsid w:val="004A6BBE"/>
    <w:rsid w:val="00B72B5B"/>
    <w:rsid w:val="00C97A49"/>
    <w:rsid w:val="00F573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2698935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2EA8-9658-4D94-AFE3-E088C01F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1293</Characters>
  <Application>Microsoft Office Word</Application>
  <DocSecurity>4</DocSecurity>
  <Lines>10</Lines>
  <Paragraphs>3</Paragraphs>
  <ScaleCrop>false</ScaleCrop>
  <Company/>
  <LinksUpToDate>false</LinksUpToDate>
  <CharactersWithSpaces>1516</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1114164</vt:i4>
      </vt:variant>
      <vt:variant>
        <vt:i4>8</vt:i4>
      </vt:variant>
      <vt:variant>
        <vt:i4>0</vt:i4>
      </vt:variant>
      <vt:variant>
        <vt:i4>5</vt:i4>
      </vt:variant>
      <vt:variant>
        <vt:lpwstr/>
      </vt:variant>
      <vt:variant>
        <vt:lpwstr>_Toc34322060</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2023-11-20T16:01:00Z</dcterms:created>
  <dcterms:modified xsi:type="dcterms:W3CDTF">2023-11-20T16:01:00Z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