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E4F69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000000" w:rsidRDefault="002E4F69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 w:hint="eastAsia"/>
          <w:b/>
          <w:sz w:val="48"/>
          <w:szCs w:val="48"/>
        </w:rPr>
        <w:t>泰信行业精选灵活配置混合型证券投资</w:t>
      </w:r>
    </w:p>
    <w:p w:rsidR="00000000" w:rsidRDefault="002E4F69">
      <w:pPr>
        <w:jc w:val="center"/>
      </w:pPr>
      <w:r>
        <w:rPr>
          <w:rFonts w:cs="Times New Roman" w:hint="eastAsia"/>
          <w:b/>
          <w:sz w:val="48"/>
          <w:szCs w:val="48"/>
        </w:rPr>
        <w:t>基金暂停大额申购、大额转换转入、定期定额投资业务公告</w:t>
      </w:r>
    </w:p>
    <w:p w:rsidR="00000000" w:rsidRDefault="002E4F69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2E4F69">
      <w:pPr>
        <w:spacing w:line="360" w:lineRule="auto"/>
        <w:jc w:val="center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2023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11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20</w:t>
      </w:r>
      <w:r>
        <w:rPr>
          <w:rFonts w:hint="eastAsia"/>
          <w:b/>
          <w:bCs/>
          <w:sz w:val="24"/>
          <w:szCs w:val="30"/>
        </w:rPr>
        <w:t>日</w:t>
      </w:r>
    </w:p>
    <w:p w:rsidR="00000000" w:rsidRDefault="002E4F69">
      <w:pPr>
        <w:pStyle w:val="XBRLTitle1"/>
        <w:spacing w:before="156"/>
        <w:ind w:left="425"/>
        <w:jc w:val="left"/>
        <w:rPr>
          <w:rFonts w:hint="eastAsia"/>
          <w:szCs w:val="24"/>
        </w:rPr>
      </w:pP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984"/>
        <w:gridCol w:w="2693"/>
        <w:gridCol w:w="2694"/>
      </w:tblGrid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基金名称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泰信行业精选灵活配置混合型证券投资基金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泰信行业精选混合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290012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泰信基金管理有限公司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公告依据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《公开募集证券投资基金信息披露管理办法》、《泰信行业精选灵活配置混合型证券投资基金基金合同》</w:t>
            </w:r>
          </w:p>
        </w:tc>
      </w:tr>
      <w:tr w:rsidR="00000000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E4F69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暂停大额转</w:t>
            </w:r>
            <w:r>
              <w:rPr>
                <w:rFonts w:ascii="Calibri" w:hAnsi="Calibri" w:hint="eastAsia"/>
              </w:rPr>
              <w:t>换转入起始日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E4F69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E4F69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hAnsi="Calibri" w:hint="eastAsia"/>
              </w:rPr>
              <w:t>）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E4F69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E4F69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限制定期定额投资金额（单位：人民币元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E4F69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暂停大额申购、大额转换转入、定期定额投资的原因说明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为保证本基金的稳定运作，保护基金份额持有人利益。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269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泰信行业精选混合</w:t>
            </w:r>
            <w:r>
              <w:rPr>
                <w:rFonts w:hint="eastAsia"/>
              </w:rPr>
              <w:t>A</w:t>
            </w:r>
          </w:p>
        </w:tc>
        <w:tc>
          <w:tcPr>
            <w:tcW w:w="269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泰信行业精选混合</w:t>
            </w:r>
            <w:r>
              <w:rPr>
                <w:rFonts w:hint="eastAsia"/>
              </w:rPr>
              <w:t>C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269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290012</w:t>
            </w:r>
          </w:p>
        </w:tc>
        <w:tc>
          <w:tcPr>
            <w:tcW w:w="269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002583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该分级基金是否暂停大额申购、大额转换转入、定期定额投资</w:t>
            </w:r>
          </w:p>
        </w:tc>
        <w:tc>
          <w:tcPr>
            <w:tcW w:w="269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269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269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  <w:tc>
          <w:tcPr>
            <w:tcW w:w="269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下属分级基金的限制转换转入金额（单位：人民币元）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  <w:tc>
          <w:tcPr>
            <w:tcW w:w="2694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ascii="Calibri" w:hAnsi="Calibri" w:cs="Calibri"/>
              </w:rPr>
              <w:lastRenderedPageBreak/>
              <w:t>下属分级基金的限制定期定额投资金额（单位：人民币元）</w:t>
            </w:r>
          </w:p>
        </w:tc>
        <w:tc>
          <w:tcPr>
            <w:tcW w:w="2693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  <w:tc>
          <w:tcPr>
            <w:tcW w:w="2694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2E4F69">
            <w:pPr>
              <w:rPr>
                <w:rFonts w:hint="eastAsia"/>
              </w:rPr>
            </w:pPr>
            <w:r>
              <w:rPr>
                <w:rFonts w:hint="eastAsia"/>
              </w:rPr>
              <w:t>500,000.00</w:t>
            </w:r>
          </w:p>
        </w:tc>
      </w:tr>
    </w:tbl>
    <w:p w:rsidR="00000000" w:rsidRDefault="002E4F69">
      <w:pPr>
        <w:pStyle w:val="XBRLTitle1"/>
        <w:spacing w:before="156" w:line="360" w:lineRule="auto"/>
        <w:ind w:left="425"/>
        <w:jc w:val="left"/>
        <w:rPr>
          <w:rFonts w:hAnsi="宋体" w:hint="eastAsia"/>
          <w:szCs w:val="24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000000" w:rsidRDefault="002E4F69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、自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日，泰信行业精选灵活配置混合型证券投资基金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以下简称“本基金”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暂停机构投资者单日</w:t>
      </w:r>
      <w:r>
        <w:rPr>
          <w:rFonts w:hint="eastAsia"/>
          <w:szCs w:val="21"/>
        </w:rPr>
        <w:t>单个基金账户累计金额</w:t>
      </w:r>
      <w:r>
        <w:rPr>
          <w:rFonts w:hint="eastAsia"/>
          <w:szCs w:val="21"/>
        </w:rPr>
        <w:t>500,000.00</w:t>
      </w:r>
      <w:r>
        <w:rPr>
          <w:rFonts w:hint="eastAsia"/>
          <w:szCs w:val="21"/>
        </w:rPr>
        <w:t>元以上的申购（含定期定额投资业务）及转换转入业务。如机构投资者单日单个基金账户累计申购、定期定额投资及转换转入本基金金额超过</w:t>
      </w:r>
      <w:r>
        <w:rPr>
          <w:rFonts w:hint="eastAsia"/>
          <w:szCs w:val="21"/>
        </w:rPr>
        <w:t>500,000.00</w:t>
      </w:r>
      <w:r>
        <w:rPr>
          <w:rFonts w:hint="eastAsia"/>
          <w:szCs w:val="21"/>
        </w:rPr>
        <w:t>元，本基金管理人将有权拒绝。本基金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份额、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份额进行合并计算。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、在本基金暂停机构投资者大额申购、定期定额投资及转换转入业务期间，其他业务正常办理。自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日起，本基金将恢复机构投资者大额申购、定期定额投资及转换转入业务，届时不再另行公告。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投资者可登录本公司网站</w:t>
      </w:r>
      <w:r>
        <w:rPr>
          <w:rFonts w:hint="eastAsia"/>
          <w:szCs w:val="21"/>
        </w:rPr>
        <w:t>www.ftfund.com</w:t>
      </w:r>
      <w:r>
        <w:rPr>
          <w:rFonts w:hint="eastAsia"/>
          <w:szCs w:val="21"/>
        </w:rPr>
        <w:t>或拨打客户服</w:t>
      </w:r>
      <w:r>
        <w:rPr>
          <w:rFonts w:hint="eastAsia"/>
          <w:szCs w:val="21"/>
        </w:rPr>
        <w:t>务电话</w:t>
      </w:r>
      <w:r>
        <w:rPr>
          <w:rFonts w:hint="eastAsia"/>
          <w:szCs w:val="21"/>
        </w:rPr>
        <w:t>400-888-5988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021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38784566</w:t>
      </w:r>
      <w:r>
        <w:rPr>
          <w:rFonts w:hint="eastAsia"/>
          <w:szCs w:val="21"/>
        </w:rPr>
        <w:t>了解详细情况。本公告的解释权归本基金管理人。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特此公告。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</w:t>
      </w:r>
    </w:p>
    <w:p w:rsidR="00000000" w:rsidRDefault="002E4F69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2E4F69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2E4F69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泰信基金管理有限公司</w:t>
      </w:r>
    </w:p>
    <w:p w:rsidR="00000000" w:rsidRDefault="002E4F69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11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</w:rPr>
        <w:t>日</w:t>
      </w:r>
      <w:bookmarkEnd w:id="22"/>
    </w:p>
    <w:sectPr w:rsidR="00000000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E4F69">
      <w:r>
        <w:separator/>
      </w:r>
    </w:p>
  </w:endnote>
  <w:endnote w:type="continuationSeparator" w:id="0">
    <w:p w:rsidR="00000000" w:rsidRDefault="002E4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4F69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E4F69">
      <w:r>
        <w:separator/>
      </w:r>
    </w:p>
  </w:footnote>
  <w:footnote w:type="continuationSeparator" w:id="0">
    <w:p w:rsidR="00000000" w:rsidRDefault="002E4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4F69">
    <w:pPr>
      <w:pStyle w:val="aa"/>
      <w:jc w:val="right"/>
      <w:rPr>
        <w:rFonts w:hint="eastAsia"/>
      </w:rPr>
    </w:pPr>
    <w:r>
      <w:rPr>
        <w:rFonts w:hint="eastAsia"/>
      </w:rPr>
      <w:t>泰信行业精选灵活配置混合型证券投资基金暂停大额申购、大额转换转入、定期定额投资业务公告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E5E"/>
    <w:rsid w:val="002E4F69"/>
    <w:rsid w:val="0050379D"/>
    <w:rsid w:val="005E7E8A"/>
    <w:rsid w:val="009D6396"/>
    <w:rsid w:val="00CB7F4A"/>
    <w:rsid w:val="00DC7E5E"/>
    <w:rsid w:val="00F63BC8"/>
    <w:rsid w:val="294F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1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标题 Char1"/>
    <w:link w:val="a3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styleId="a4">
    <w:name w:val="FollowedHyperlink"/>
    <w:uiPriority w:val="99"/>
    <w:unhideWhenUsed/>
    <w:rPr>
      <w:color w:val="800080"/>
      <w:u w:val="single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Char10">
    <w:name w:val="页脚 Char1"/>
    <w:link w:val="a5"/>
    <w:uiPriority w:val="99"/>
    <w:locked/>
    <w:rPr>
      <w:kern w:val="2"/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Char">
    <w:name w:val="副标题 Char"/>
    <w:link w:val="a7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styleId="a8">
    <w:name w:val="footnote reference"/>
    <w:rPr>
      <w:vertAlign w:val="superscript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a9">
    <w:name w:val="页眉 字符"/>
    <w:link w:val="aa"/>
    <w:uiPriority w:val="99"/>
    <w:locked/>
    <w:rPr>
      <w:kern w:val="2"/>
      <w:sz w:val="18"/>
      <w:szCs w:val="18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b">
    <w:name w:val="脚注文本 字符"/>
    <w:link w:val="ac"/>
    <w:locked/>
    <w:rPr>
      <w:kern w:val="2"/>
      <w:sz w:val="18"/>
      <w:szCs w:val="18"/>
    </w:rPr>
  </w:style>
  <w:style w:type="character" w:customStyle="1" w:styleId="ad">
    <w:name w:val="页脚 字符"/>
    <w:link w:val="a5"/>
    <w:uiPriority w:val="99"/>
    <w:locked/>
    <w:rPr>
      <w:kern w:val="2"/>
      <w:sz w:val="18"/>
      <w:szCs w:val="18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ae">
    <w:name w:val="标题 字符"/>
    <w:link w:val="a3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af">
    <w:name w:val="副标题 字符"/>
    <w:link w:val="a7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0">
    <w:name w:val="文档结构图 字符"/>
    <w:link w:val="af1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2">
    <w:name w:val="日期 字符"/>
    <w:link w:val="af3"/>
    <w:locked/>
    <w:rPr>
      <w:kern w:val="2"/>
      <w:sz w:val="21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4">
    <w:name w:val="批注框文本 字符"/>
    <w:link w:val="af5"/>
    <w:uiPriority w:val="99"/>
    <w:semiHidden/>
    <w:locked/>
    <w:rPr>
      <w:kern w:val="2"/>
      <w:sz w:val="18"/>
      <w:szCs w:val="18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Char0">
    <w:name w:val="脚注文本 Char"/>
    <w:link w:val="ac"/>
    <w:locked/>
    <w:rPr>
      <w:kern w:val="2"/>
      <w:sz w:val="18"/>
      <w:szCs w:val="18"/>
    </w:rPr>
  </w:style>
  <w:style w:type="character" w:customStyle="1" w:styleId="Char2">
    <w:name w:val="页眉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页脚 Char"/>
    <w:link w:val="a5"/>
    <w:uiPriority w:val="99"/>
    <w:locked/>
    <w:rPr>
      <w:kern w:val="2"/>
      <w:sz w:val="18"/>
      <w:szCs w:val="18"/>
    </w:rPr>
  </w:style>
  <w:style w:type="character" w:customStyle="1" w:styleId="Char4">
    <w:name w:val="标题 Char"/>
    <w:link w:val="a3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5">
    <w:name w:val="日期 Char"/>
    <w:link w:val="af3"/>
    <w:locked/>
    <w:rPr>
      <w:kern w:val="2"/>
      <w:sz w:val="21"/>
    </w:rPr>
  </w:style>
  <w:style w:type="character" w:customStyle="1" w:styleId="Char6">
    <w:name w:val="文档结构图 Char"/>
    <w:link w:val="af1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5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1">
    <w:name w:val="脚注文本 Char1"/>
    <w:link w:val="ac"/>
    <w:locked/>
    <w:rPr>
      <w:kern w:val="2"/>
      <w:sz w:val="18"/>
      <w:szCs w:val="18"/>
    </w:rPr>
  </w:style>
  <w:style w:type="character" w:customStyle="1" w:styleId="Char20">
    <w:name w:val="页眉 Char2"/>
    <w:link w:val="aa"/>
    <w:locked/>
    <w:rPr>
      <w:kern w:val="2"/>
      <w:sz w:val="18"/>
      <w:szCs w:val="18"/>
    </w:rPr>
  </w:style>
  <w:style w:type="character" w:customStyle="1" w:styleId="Char12">
    <w:name w:val="副标题 Char1"/>
    <w:link w:val="a7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3"/>
    <w:locked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link w:val="af1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link w:val="af5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11">
    <w:name w:val="页眉 字符1"/>
    <w:locked/>
    <w:rPr>
      <w:kern w:val="2"/>
      <w:sz w:val="18"/>
      <w:szCs w:val="18"/>
    </w:rPr>
  </w:style>
  <w:style w:type="character" w:customStyle="1" w:styleId="Char16">
    <w:name w:val="页眉 Char1"/>
    <w:locked/>
    <w:rPr>
      <w:kern w:val="2"/>
      <w:sz w:val="18"/>
      <w:szCs w:val="18"/>
    </w:rPr>
  </w:style>
  <w:style w:type="paragraph" w:styleId="31">
    <w:name w:val="toc 3"/>
    <w:basedOn w:val="a"/>
    <w:next w:val="a"/>
    <w:uiPriority w:val="39"/>
    <w:unhideWhenUsed/>
  </w:style>
  <w:style w:type="paragraph" w:styleId="a3">
    <w:name w:val="Title"/>
    <w:basedOn w:val="1"/>
    <w:next w:val="2"/>
    <w:link w:val="Char1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3">
    <w:name w:val="Date"/>
    <w:basedOn w:val="a"/>
    <w:next w:val="a"/>
    <w:link w:val="Char13"/>
    <w:rPr>
      <w:sz w:val="32"/>
    </w:rPr>
  </w:style>
  <w:style w:type="paragraph" w:styleId="af1">
    <w:name w:val="Document Map"/>
    <w:basedOn w:val="a"/>
    <w:link w:val="Char14"/>
    <w:pPr>
      <w:shd w:val="clear" w:color="auto" w:fill="000080"/>
    </w:pPr>
  </w:style>
  <w:style w:type="paragraph" w:styleId="af5">
    <w:name w:val="Balloon Text"/>
    <w:basedOn w:val="a"/>
    <w:link w:val="Char15"/>
    <w:uiPriority w:val="99"/>
    <w:unhideWhenUsed/>
    <w:rPr>
      <w:sz w:val="18"/>
      <w:szCs w:val="18"/>
    </w:rPr>
  </w:style>
  <w:style w:type="paragraph" w:styleId="a7">
    <w:name w:val="Subtitle"/>
    <w:basedOn w:val="2"/>
    <w:next w:val="3"/>
    <w:link w:val="Char12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c">
    <w:name w:val="footnote text"/>
    <w:basedOn w:val="a"/>
    <w:link w:val="Char11"/>
    <w:pPr>
      <w:snapToGrid w:val="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paragraph" w:styleId="12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5">
    <w:name w:val="footer"/>
    <w:basedOn w:val="a"/>
    <w:link w:val="Char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6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4">
    <w:name w:val="XBRLTitle4"/>
    <w:basedOn w:val="a7"/>
    <w:next w:val="4"/>
    <w:qFormat/>
    <w:pPr>
      <w:numPr>
        <w:ilvl w:val="3"/>
        <w:numId w:val="1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3">
    <w:name w:val="XBRLTitle3"/>
    <w:basedOn w:val="a7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XBRLTitle5">
    <w:name w:val="XBRLTitle5"/>
    <w:basedOn w:val="a7"/>
    <w:next w:val="4"/>
    <w:qFormat/>
    <w:pPr>
      <w:numPr>
        <w:ilvl w:val="4"/>
        <w:numId w:val="1"/>
      </w:numPr>
      <w:spacing w:beforeLines="50" w:after="0" w:line="240" w:lineRule="auto"/>
      <w:ind w:left="2042"/>
      <w:outlineLvl w:val="9"/>
    </w:pPr>
    <w:rPr>
      <w:bCs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Title6">
    <w:name w:val="XBRLTitle6"/>
    <w:basedOn w:val="a7"/>
    <w:next w:val="4"/>
    <w:qFormat/>
    <w:pPr>
      <w:numPr>
        <w:ilvl w:val="5"/>
        <w:numId w:val="1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af7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4">
    <w:name w:val="XBRL标题4"/>
    <w:basedOn w:val="a7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6">
    <w:name w:val="XBRL标题6"/>
    <w:basedOn w:val="a7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paragraph" w:customStyle="1" w:styleId="XBRL2">
    <w:name w:val="XBRL标题2"/>
    <w:basedOn w:val="a7"/>
    <w:next w:val="4"/>
    <w:qFormat/>
    <w:pPr>
      <w:spacing w:beforeLines="50" w:after="0" w:line="240" w:lineRule="auto"/>
    </w:pPr>
    <w:rPr>
      <w:bCs/>
    </w:rPr>
  </w:style>
  <w:style w:type="paragraph" w:customStyle="1" w:styleId="XBRLTitle2">
    <w:name w:val="XBRLTitle2"/>
    <w:basedOn w:val="a7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3">
    <w:name w:val="XBRL标题3"/>
    <w:basedOn w:val="a7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5">
    <w:name w:val="XBRL标题5"/>
    <w:basedOn w:val="a7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table" w:styleId="af8">
    <w:name w:val="Table Grid"/>
    <w:basedOn w:val="a1"/>
    <w:uiPriority w:val="5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4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2023-11-19T16:01:00Z</dcterms:created>
  <dcterms:modified xsi:type="dcterms:W3CDTF">2023-11-19T16:01:00Z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