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1CC" w:rsidRDefault="009C41CC" w:rsidP="009C41CC">
      <w:pPr>
        <w:jc w:val="center"/>
        <w:rPr>
          <w:rFonts w:ascii="宋体" w:hAnsi="宋体"/>
          <w:b/>
          <w:bCs/>
          <w:color w:val="000000"/>
          <w:sz w:val="32"/>
          <w:szCs w:val="32"/>
        </w:rPr>
      </w:pPr>
      <w:r>
        <w:rPr>
          <w:rFonts w:ascii="宋体" w:hAnsi="宋体" w:hint="eastAsia"/>
          <w:b/>
          <w:bCs/>
          <w:color w:val="000000"/>
          <w:sz w:val="32"/>
          <w:szCs w:val="32"/>
        </w:rPr>
        <w:t>上海东方证券资产管理有限公司</w:t>
      </w:r>
    </w:p>
    <w:p w:rsidR="009C41CC" w:rsidRDefault="009C41CC" w:rsidP="009C41CC">
      <w:pPr>
        <w:jc w:val="center"/>
        <w:rPr>
          <w:rFonts w:ascii="宋体" w:hAnsi="宋体" w:hint="eastAsia"/>
          <w:b/>
          <w:bCs/>
          <w:color w:val="000000"/>
          <w:sz w:val="32"/>
          <w:szCs w:val="32"/>
        </w:rPr>
      </w:pPr>
      <w:r>
        <w:rPr>
          <w:rFonts w:ascii="宋体" w:hAnsi="宋体" w:hint="eastAsia"/>
          <w:b/>
          <w:bCs/>
          <w:color w:val="000000"/>
          <w:sz w:val="32"/>
          <w:szCs w:val="32"/>
        </w:rPr>
        <w:t>关于旗下部分基金开通日常转换转出业务的公告</w:t>
      </w:r>
    </w:p>
    <w:p w:rsidR="009C41CC" w:rsidRDefault="009C41CC" w:rsidP="009C41CC">
      <w:pPr>
        <w:jc w:val="center"/>
        <w:rPr>
          <w:rFonts w:ascii="宋体" w:hAnsi="宋体" w:hint="eastAsia"/>
          <w:b/>
          <w:bCs/>
          <w:color w:val="000000"/>
          <w:sz w:val="32"/>
          <w:szCs w:val="32"/>
        </w:rPr>
      </w:pPr>
      <w:r>
        <w:rPr>
          <w:rFonts w:ascii="宋体" w:hAnsi="宋体" w:hint="eastAsia"/>
          <w:b/>
          <w:bCs/>
          <w:color w:val="000000"/>
          <w:sz w:val="32"/>
          <w:szCs w:val="32"/>
        </w:rPr>
        <w:t xml:space="preserve"> </w:t>
      </w:r>
    </w:p>
    <w:p w:rsidR="009C41CC" w:rsidRDefault="009C41CC" w:rsidP="009C41CC">
      <w:pPr>
        <w:spacing w:line="360" w:lineRule="auto"/>
        <w:ind w:firstLineChars="200" w:firstLine="480"/>
        <w:outlineLvl w:val="0"/>
        <w:rPr>
          <w:rFonts w:ascii="宋体" w:hAnsi="宋体" w:hint="eastAsia"/>
          <w:sz w:val="24"/>
          <w:szCs w:val="24"/>
        </w:rPr>
      </w:pPr>
      <w:r>
        <w:rPr>
          <w:rFonts w:ascii="宋体" w:hAnsi="宋体" w:hint="eastAsia"/>
          <w:sz w:val="24"/>
          <w:szCs w:val="24"/>
        </w:rPr>
        <w:t>为满足广大投资者的理财需求，上海东方证券资产管理有限公司（以下简称本公司）决定开放办理旗下部分基金份额的日常转换转出业务。现将相关事项公告如下：</w:t>
      </w:r>
    </w:p>
    <w:p w:rsidR="009C41CC" w:rsidRDefault="009C41CC" w:rsidP="009C41CC">
      <w:pPr>
        <w:spacing w:line="360" w:lineRule="auto"/>
        <w:ind w:firstLineChars="200" w:firstLine="482"/>
        <w:outlineLvl w:val="0"/>
        <w:rPr>
          <w:rFonts w:ascii="宋体" w:hAnsi="宋体" w:hint="eastAsia"/>
          <w:b/>
          <w:bCs/>
          <w:sz w:val="24"/>
          <w:szCs w:val="24"/>
        </w:rPr>
      </w:pPr>
      <w:r>
        <w:rPr>
          <w:rFonts w:ascii="宋体" w:hAnsi="宋体" w:hint="eastAsia"/>
          <w:b/>
          <w:bCs/>
          <w:sz w:val="24"/>
          <w:szCs w:val="24"/>
        </w:rPr>
        <w:t>一、日常转换转出业务的办理时间</w:t>
      </w:r>
    </w:p>
    <w:p w:rsidR="009C41CC" w:rsidRDefault="009C41CC" w:rsidP="009C41CC">
      <w:pPr>
        <w:widowControl/>
        <w:spacing w:line="360" w:lineRule="auto"/>
        <w:jc w:val="left"/>
        <w:rPr>
          <w:rFonts w:hint="eastAsia"/>
        </w:rPr>
      </w:pPr>
      <w:r>
        <w:rPr>
          <w:rFonts w:ascii="宋体" w:hAnsi="宋体" w:hint="eastAsia"/>
          <w:sz w:val="24"/>
          <w:szCs w:val="24"/>
        </w:rPr>
        <w:t xml:space="preserve">    1、自2023年11月16日（含）起，本公司开放办理下列基金份额的转换转出业务，不开放办理转换转入业务。投资者可在开放日办理相关基金份额的转换转出业务（相关基金份额需处于开放赎回状态）</w:t>
      </w:r>
      <w:r>
        <w:rPr>
          <w:rFonts w:ascii="宋体" w:hAnsi="宋体" w:hint="eastAsia"/>
          <w:kern w:val="0"/>
          <w:sz w:val="24"/>
          <w:szCs w:val="24"/>
        </w:rPr>
        <w:t>。</w:t>
      </w:r>
    </w:p>
    <w:p w:rsidR="009C41CC" w:rsidRDefault="009C41CC" w:rsidP="009C41CC">
      <w:pPr>
        <w:spacing w:line="360" w:lineRule="auto"/>
        <w:ind w:firstLine="420"/>
        <w:outlineLvl w:val="0"/>
        <w:rPr>
          <w:rFonts w:ascii="宋体" w:hAnsi="宋体"/>
          <w:sz w:val="24"/>
          <w:szCs w:val="24"/>
        </w:rPr>
      </w:pPr>
      <w:r>
        <w:rPr>
          <w:rFonts w:ascii="宋体" w:hAnsi="宋体" w:hint="eastAsia"/>
          <w:sz w:val="24"/>
          <w:szCs w:val="24"/>
        </w:rPr>
        <w:t xml:space="preserve"> </w:t>
      </w:r>
    </w:p>
    <w:tbl>
      <w:tblPr>
        <w:tblW w:w="7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2835"/>
        <w:gridCol w:w="1275"/>
      </w:tblGrid>
      <w:tr w:rsidR="009C41CC" w:rsidTr="009C41CC">
        <w:trPr>
          <w:trHeight w:val="377"/>
          <w:jc w:val="center"/>
        </w:trPr>
        <w:tc>
          <w:tcPr>
            <w:tcW w:w="3369" w:type="dxa"/>
            <w:tcBorders>
              <w:top w:val="single" w:sz="4" w:space="0" w:color="auto"/>
              <w:left w:val="single" w:sz="4" w:space="0" w:color="auto"/>
              <w:bottom w:val="single" w:sz="4" w:space="0" w:color="auto"/>
              <w:right w:val="single" w:sz="4" w:space="0" w:color="auto"/>
            </w:tcBorders>
            <w:noWrap/>
            <w:vAlign w:val="center"/>
            <w:hideMark/>
          </w:tcPr>
          <w:p w:rsidR="009C41CC" w:rsidRDefault="009C41CC">
            <w:pPr>
              <w:widowControl/>
              <w:adjustRightInd w:val="0"/>
              <w:snapToGrid w:val="0"/>
              <w:spacing w:line="360" w:lineRule="auto"/>
              <w:jc w:val="center"/>
              <w:rPr>
                <w:rFonts w:ascii="宋体" w:hAnsi="宋体" w:hint="eastAsia"/>
                <w:sz w:val="24"/>
                <w:szCs w:val="24"/>
              </w:rPr>
            </w:pPr>
            <w:r>
              <w:rPr>
                <w:rFonts w:ascii="宋体" w:hAnsi="宋体" w:hint="eastAsia"/>
                <w:sz w:val="24"/>
                <w:szCs w:val="24"/>
              </w:rPr>
              <w:t>基金名称</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9C41CC" w:rsidRDefault="009C41CC">
            <w:pPr>
              <w:widowControl/>
              <w:adjustRightInd w:val="0"/>
              <w:snapToGrid w:val="0"/>
              <w:spacing w:line="360" w:lineRule="auto"/>
              <w:jc w:val="center"/>
              <w:rPr>
                <w:rFonts w:ascii="宋体" w:hAnsi="宋体" w:hint="eastAsia"/>
                <w:sz w:val="24"/>
                <w:szCs w:val="24"/>
              </w:rPr>
            </w:pPr>
            <w:r>
              <w:rPr>
                <w:rFonts w:ascii="宋体" w:hAnsi="宋体" w:hint="eastAsia"/>
                <w:sz w:val="24"/>
                <w:szCs w:val="24"/>
              </w:rPr>
              <w:t>基金简称</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C41CC" w:rsidRDefault="009C41CC">
            <w:pPr>
              <w:widowControl/>
              <w:adjustRightInd w:val="0"/>
              <w:snapToGrid w:val="0"/>
              <w:spacing w:line="360" w:lineRule="auto"/>
              <w:jc w:val="center"/>
              <w:rPr>
                <w:rFonts w:ascii="宋体" w:hAnsi="宋体" w:hint="eastAsia"/>
                <w:sz w:val="24"/>
                <w:szCs w:val="24"/>
              </w:rPr>
            </w:pPr>
            <w:r>
              <w:rPr>
                <w:rFonts w:ascii="宋体" w:hAnsi="宋体" w:hint="eastAsia"/>
                <w:sz w:val="24"/>
                <w:szCs w:val="24"/>
              </w:rPr>
              <w:t>基金代码</w:t>
            </w:r>
          </w:p>
        </w:tc>
      </w:tr>
      <w:tr w:rsidR="009C41CC" w:rsidTr="009C41CC">
        <w:trPr>
          <w:trHeight w:val="377"/>
          <w:jc w:val="center"/>
        </w:trPr>
        <w:tc>
          <w:tcPr>
            <w:tcW w:w="3369" w:type="dxa"/>
            <w:tcBorders>
              <w:top w:val="single" w:sz="4" w:space="0" w:color="auto"/>
              <w:left w:val="single" w:sz="4" w:space="0" w:color="auto"/>
              <w:bottom w:val="single" w:sz="4" w:space="0" w:color="auto"/>
              <w:right w:val="single" w:sz="4" w:space="0" w:color="auto"/>
            </w:tcBorders>
            <w:noWrap/>
            <w:vAlign w:val="center"/>
            <w:hideMark/>
          </w:tcPr>
          <w:p w:rsidR="009C41CC" w:rsidRDefault="009C41CC">
            <w:pPr>
              <w:widowControl/>
              <w:adjustRightInd w:val="0"/>
              <w:snapToGrid w:val="0"/>
              <w:spacing w:line="360" w:lineRule="auto"/>
              <w:rPr>
                <w:rFonts w:ascii="宋体" w:hAnsi="宋体" w:hint="eastAsia"/>
                <w:sz w:val="24"/>
                <w:szCs w:val="24"/>
              </w:rPr>
            </w:pPr>
            <w:r>
              <w:rPr>
                <w:rFonts w:ascii="宋体" w:hAnsi="宋体" w:hint="eastAsia"/>
                <w:sz w:val="24"/>
                <w:szCs w:val="24"/>
              </w:rPr>
              <w:t>东方红启元三年持有期混合型证券投资基金（A类份额）</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9C41CC" w:rsidRDefault="009C41CC">
            <w:pPr>
              <w:widowControl/>
              <w:adjustRightInd w:val="0"/>
              <w:snapToGrid w:val="0"/>
              <w:spacing w:line="360" w:lineRule="auto"/>
              <w:rPr>
                <w:rFonts w:ascii="宋体" w:hAnsi="宋体" w:hint="eastAsia"/>
                <w:sz w:val="24"/>
                <w:szCs w:val="24"/>
              </w:rPr>
            </w:pPr>
            <w:r>
              <w:rPr>
                <w:rFonts w:ascii="宋体" w:hAnsi="宋体" w:hint="eastAsia"/>
                <w:sz w:val="24"/>
                <w:szCs w:val="24"/>
              </w:rPr>
              <w:t>东方红启元三年持有混合A</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C41CC" w:rsidRDefault="009C41CC">
            <w:pPr>
              <w:widowControl/>
              <w:adjustRightInd w:val="0"/>
              <w:snapToGrid w:val="0"/>
              <w:spacing w:line="360" w:lineRule="auto"/>
              <w:jc w:val="center"/>
              <w:rPr>
                <w:rFonts w:ascii="宋体" w:hAnsi="宋体" w:hint="eastAsia"/>
                <w:sz w:val="24"/>
                <w:szCs w:val="24"/>
              </w:rPr>
            </w:pPr>
            <w:r>
              <w:rPr>
                <w:rFonts w:ascii="宋体" w:hAnsi="宋体" w:hint="eastAsia"/>
                <w:sz w:val="24"/>
                <w:szCs w:val="24"/>
              </w:rPr>
              <w:t>910007</w:t>
            </w:r>
          </w:p>
        </w:tc>
      </w:tr>
      <w:tr w:rsidR="009C41CC" w:rsidTr="009C41CC">
        <w:trPr>
          <w:trHeight w:val="377"/>
          <w:jc w:val="center"/>
        </w:trPr>
        <w:tc>
          <w:tcPr>
            <w:tcW w:w="3369" w:type="dxa"/>
            <w:tcBorders>
              <w:top w:val="single" w:sz="4" w:space="0" w:color="auto"/>
              <w:left w:val="single" w:sz="4" w:space="0" w:color="auto"/>
              <w:bottom w:val="single" w:sz="4" w:space="0" w:color="auto"/>
              <w:right w:val="single" w:sz="4" w:space="0" w:color="auto"/>
            </w:tcBorders>
            <w:noWrap/>
            <w:vAlign w:val="center"/>
            <w:hideMark/>
          </w:tcPr>
          <w:p w:rsidR="009C41CC" w:rsidRDefault="009C41CC">
            <w:pPr>
              <w:widowControl/>
              <w:adjustRightInd w:val="0"/>
              <w:snapToGrid w:val="0"/>
              <w:spacing w:line="360" w:lineRule="auto"/>
              <w:rPr>
                <w:rFonts w:ascii="宋体" w:hAnsi="宋体" w:hint="eastAsia"/>
                <w:sz w:val="24"/>
                <w:szCs w:val="24"/>
              </w:rPr>
            </w:pPr>
            <w:r>
              <w:rPr>
                <w:rFonts w:ascii="宋体" w:hAnsi="宋体" w:hint="eastAsia"/>
                <w:sz w:val="24"/>
                <w:szCs w:val="24"/>
              </w:rPr>
              <w:t>东方红启航三年持有期混合型证券投资基金（A类份额）</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9C41CC" w:rsidRDefault="009C41CC">
            <w:pPr>
              <w:widowControl/>
              <w:adjustRightInd w:val="0"/>
              <w:snapToGrid w:val="0"/>
              <w:spacing w:line="360" w:lineRule="auto"/>
              <w:rPr>
                <w:rFonts w:ascii="宋体" w:hAnsi="宋体" w:hint="eastAsia"/>
                <w:sz w:val="24"/>
                <w:szCs w:val="24"/>
              </w:rPr>
            </w:pPr>
            <w:r>
              <w:rPr>
                <w:rFonts w:ascii="宋体" w:hAnsi="宋体" w:hint="eastAsia"/>
                <w:sz w:val="24"/>
                <w:szCs w:val="24"/>
              </w:rPr>
              <w:t>东方红启航三年持有混合A</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C41CC" w:rsidRDefault="009C41CC">
            <w:pPr>
              <w:widowControl/>
              <w:adjustRightInd w:val="0"/>
              <w:snapToGrid w:val="0"/>
              <w:spacing w:line="360" w:lineRule="auto"/>
              <w:jc w:val="center"/>
              <w:rPr>
                <w:rFonts w:ascii="宋体" w:hAnsi="宋体" w:hint="eastAsia"/>
                <w:sz w:val="24"/>
                <w:szCs w:val="24"/>
              </w:rPr>
            </w:pPr>
            <w:r>
              <w:rPr>
                <w:rFonts w:ascii="宋体" w:hAnsi="宋体" w:hint="eastAsia"/>
                <w:sz w:val="24"/>
                <w:szCs w:val="24"/>
              </w:rPr>
              <w:t>910022</w:t>
            </w:r>
          </w:p>
        </w:tc>
      </w:tr>
      <w:tr w:rsidR="009C41CC" w:rsidTr="009C41CC">
        <w:trPr>
          <w:trHeight w:val="377"/>
          <w:jc w:val="center"/>
        </w:trPr>
        <w:tc>
          <w:tcPr>
            <w:tcW w:w="3369" w:type="dxa"/>
            <w:tcBorders>
              <w:top w:val="single" w:sz="4" w:space="0" w:color="auto"/>
              <w:left w:val="single" w:sz="4" w:space="0" w:color="auto"/>
              <w:bottom w:val="single" w:sz="4" w:space="0" w:color="auto"/>
              <w:right w:val="single" w:sz="4" w:space="0" w:color="auto"/>
            </w:tcBorders>
            <w:noWrap/>
            <w:vAlign w:val="center"/>
            <w:hideMark/>
          </w:tcPr>
          <w:p w:rsidR="009C41CC" w:rsidRDefault="009C41CC">
            <w:pPr>
              <w:widowControl/>
              <w:adjustRightInd w:val="0"/>
              <w:snapToGrid w:val="0"/>
              <w:spacing w:line="360" w:lineRule="auto"/>
              <w:rPr>
                <w:rFonts w:ascii="宋体" w:hAnsi="宋体" w:hint="eastAsia"/>
                <w:sz w:val="24"/>
                <w:szCs w:val="24"/>
              </w:rPr>
            </w:pPr>
            <w:r>
              <w:rPr>
                <w:rFonts w:ascii="宋体" w:hAnsi="宋体" w:hint="eastAsia"/>
                <w:sz w:val="24"/>
                <w:szCs w:val="24"/>
              </w:rPr>
              <w:t>东方红多元策略混合型证券投资基金（A类份额）</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9C41CC" w:rsidRDefault="009C41CC">
            <w:pPr>
              <w:widowControl/>
              <w:adjustRightInd w:val="0"/>
              <w:snapToGrid w:val="0"/>
              <w:spacing w:line="360" w:lineRule="auto"/>
              <w:rPr>
                <w:rFonts w:ascii="宋体" w:hAnsi="宋体" w:hint="eastAsia"/>
                <w:sz w:val="24"/>
                <w:szCs w:val="24"/>
              </w:rPr>
            </w:pPr>
            <w:r>
              <w:rPr>
                <w:rFonts w:ascii="宋体" w:hAnsi="宋体" w:hint="eastAsia"/>
                <w:sz w:val="24"/>
                <w:szCs w:val="24"/>
              </w:rPr>
              <w:t>东方红多元策略混合A</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C41CC" w:rsidRDefault="009C41CC">
            <w:pPr>
              <w:widowControl/>
              <w:adjustRightInd w:val="0"/>
              <w:snapToGrid w:val="0"/>
              <w:spacing w:line="360" w:lineRule="auto"/>
              <w:jc w:val="center"/>
              <w:rPr>
                <w:rFonts w:ascii="宋体" w:hAnsi="宋体" w:hint="eastAsia"/>
                <w:sz w:val="24"/>
                <w:szCs w:val="24"/>
              </w:rPr>
            </w:pPr>
            <w:r>
              <w:rPr>
                <w:rFonts w:ascii="宋体" w:hAnsi="宋体" w:hint="eastAsia"/>
                <w:sz w:val="24"/>
                <w:szCs w:val="24"/>
              </w:rPr>
              <w:t>910017</w:t>
            </w:r>
          </w:p>
        </w:tc>
      </w:tr>
      <w:tr w:rsidR="009C41CC" w:rsidTr="009C41CC">
        <w:trPr>
          <w:trHeight w:val="377"/>
          <w:jc w:val="center"/>
        </w:trPr>
        <w:tc>
          <w:tcPr>
            <w:tcW w:w="3369" w:type="dxa"/>
            <w:tcBorders>
              <w:top w:val="single" w:sz="4" w:space="0" w:color="auto"/>
              <w:left w:val="single" w:sz="4" w:space="0" w:color="auto"/>
              <w:bottom w:val="single" w:sz="4" w:space="0" w:color="auto"/>
              <w:right w:val="single" w:sz="4" w:space="0" w:color="auto"/>
            </w:tcBorders>
            <w:noWrap/>
            <w:vAlign w:val="center"/>
            <w:hideMark/>
          </w:tcPr>
          <w:p w:rsidR="009C41CC" w:rsidRDefault="009C41CC">
            <w:pPr>
              <w:widowControl/>
              <w:adjustRightInd w:val="0"/>
              <w:snapToGrid w:val="0"/>
              <w:spacing w:line="360" w:lineRule="auto"/>
              <w:rPr>
                <w:rFonts w:ascii="宋体" w:hAnsi="宋体" w:hint="eastAsia"/>
                <w:sz w:val="24"/>
                <w:szCs w:val="24"/>
              </w:rPr>
            </w:pPr>
            <w:r>
              <w:rPr>
                <w:rFonts w:ascii="宋体" w:hAnsi="宋体" w:hint="eastAsia"/>
                <w:sz w:val="24"/>
                <w:szCs w:val="24"/>
              </w:rPr>
              <w:t>东方红启阳三年持有期混合型证券投资基金（A类份额）</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9C41CC" w:rsidRDefault="009C41CC">
            <w:pPr>
              <w:widowControl/>
              <w:adjustRightInd w:val="0"/>
              <w:snapToGrid w:val="0"/>
              <w:spacing w:line="360" w:lineRule="auto"/>
              <w:rPr>
                <w:rFonts w:ascii="宋体" w:hAnsi="宋体" w:hint="eastAsia"/>
                <w:sz w:val="24"/>
                <w:szCs w:val="24"/>
              </w:rPr>
            </w:pPr>
            <w:r>
              <w:rPr>
                <w:rFonts w:ascii="宋体" w:hAnsi="宋体" w:hint="eastAsia"/>
                <w:sz w:val="24"/>
                <w:szCs w:val="24"/>
              </w:rPr>
              <w:t>东方红启阳三年持有混合A</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C41CC" w:rsidRDefault="009C41CC">
            <w:pPr>
              <w:widowControl/>
              <w:adjustRightInd w:val="0"/>
              <w:snapToGrid w:val="0"/>
              <w:spacing w:line="360" w:lineRule="auto"/>
              <w:jc w:val="center"/>
              <w:rPr>
                <w:rFonts w:ascii="宋体" w:hAnsi="宋体" w:hint="eastAsia"/>
                <w:sz w:val="24"/>
                <w:szCs w:val="24"/>
              </w:rPr>
            </w:pPr>
            <w:r>
              <w:rPr>
                <w:rFonts w:ascii="宋体" w:hAnsi="宋体" w:hint="eastAsia"/>
                <w:sz w:val="24"/>
                <w:szCs w:val="24"/>
              </w:rPr>
              <w:t>910024</w:t>
            </w:r>
          </w:p>
        </w:tc>
      </w:tr>
      <w:tr w:rsidR="009C41CC" w:rsidTr="009C41CC">
        <w:trPr>
          <w:trHeight w:val="377"/>
          <w:jc w:val="center"/>
        </w:trPr>
        <w:tc>
          <w:tcPr>
            <w:tcW w:w="3369" w:type="dxa"/>
            <w:tcBorders>
              <w:top w:val="single" w:sz="4" w:space="0" w:color="auto"/>
              <w:left w:val="single" w:sz="4" w:space="0" w:color="auto"/>
              <w:bottom w:val="single" w:sz="4" w:space="0" w:color="auto"/>
              <w:right w:val="single" w:sz="4" w:space="0" w:color="auto"/>
            </w:tcBorders>
            <w:noWrap/>
            <w:vAlign w:val="center"/>
            <w:hideMark/>
          </w:tcPr>
          <w:p w:rsidR="009C41CC" w:rsidRDefault="009C41CC">
            <w:pPr>
              <w:widowControl/>
              <w:adjustRightInd w:val="0"/>
              <w:snapToGrid w:val="0"/>
              <w:spacing w:line="360" w:lineRule="auto"/>
              <w:rPr>
                <w:rFonts w:ascii="宋体" w:hAnsi="宋体" w:hint="eastAsia"/>
                <w:sz w:val="24"/>
                <w:szCs w:val="24"/>
              </w:rPr>
            </w:pPr>
            <w:r>
              <w:rPr>
                <w:rFonts w:ascii="宋体" w:hAnsi="宋体" w:hint="eastAsia"/>
                <w:sz w:val="24"/>
                <w:szCs w:val="24"/>
              </w:rPr>
              <w:t>东方红启瑞三年持有期混合型证券投资基金（A类份额）</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9C41CC" w:rsidRDefault="009C41CC">
            <w:pPr>
              <w:widowControl/>
              <w:adjustRightInd w:val="0"/>
              <w:snapToGrid w:val="0"/>
              <w:spacing w:line="360" w:lineRule="auto"/>
              <w:rPr>
                <w:rFonts w:ascii="宋体" w:hAnsi="宋体" w:hint="eastAsia"/>
                <w:sz w:val="24"/>
                <w:szCs w:val="24"/>
              </w:rPr>
            </w:pPr>
            <w:r>
              <w:rPr>
                <w:rFonts w:ascii="宋体" w:hAnsi="宋体" w:hint="eastAsia"/>
                <w:sz w:val="24"/>
                <w:szCs w:val="24"/>
              </w:rPr>
              <w:t>东方红启瑞三年持有混合A</w:t>
            </w:r>
            <w:r w:rsidR="006B5F2F">
              <w:t xml:space="preserve"> </w:t>
            </w:r>
            <w:r w:rsidR="006B5F2F">
              <w:br/>
            </w:r>
            <w:r w:rsidR="006B5F2F">
              <w:rPr>
                <w:rFonts w:ascii="Helvetica" w:hAnsi="Helvetica" w:cs="Helvetica"/>
                <w:color w:val="606266"/>
                <w:shd w:val="clear" w:color="auto" w:fill="FFFFFF"/>
              </w:rPr>
              <w:t>披露日期</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C41CC" w:rsidRDefault="009C41CC">
            <w:pPr>
              <w:widowControl/>
              <w:adjustRightInd w:val="0"/>
              <w:snapToGrid w:val="0"/>
              <w:spacing w:line="360" w:lineRule="auto"/>
              <w:jc w:val="center"/>
              <w:rPr>
                <w:rFonts w:ascii="宋体" w:hAnsi="宋体" w:hint="eastAsia"/>
                <w:sz w:val="24"/>
                <w:szCs w:val="24"/>
              </w:rPr>
            </w:pPr>
            <w:r>
              <w:rPr>
                <w:rFonts w:ascii="宋体" w:hAnsi="宋体" w:hint="eastAsia"/>
                <w:sz w:val="24"/>
                <w:szCs w:val="24"/>
              </w:rPr>
              <w:t>910011</w:t>
            </w:r>
          </w:p>
        </w:tc>
      </w:tr>
      <w:tr w:rsidR="009C41CC" w:rsidTr="009C41CC">
        <w:trPr>
          <w:trHeight w:val="746"/>
          <w:jc w:val="center"/>
        </w:trPr>
        <w:tc>
          <w:tcPr>
            <w:tcW w:w="3369" w:type="dxa"/>
            <w:tcBorders>
              <w:top w:val="single" w:sz="4" w:space="0" w:color="auto"/>
              <w:left w:val="single" w:sz="4" w:space="0" w:color="auto"/>
              <w:bottom w:val="single" w:sz="4" w:space="0" w:color="auto"/>
              <w:right w:val="single" w:sz="4" w:space="0" w:color="auto"/>
            </w:tcBorders>
            <w:noWrap/>
            <w:vAlign w:val="center"/>
            <w:hideMark/>
          </w:tcPr>
          <w:p w:rsidR="009C41CC" w:rsidRDefault="009C41CC">
            <w:pPr>
              <w:widowControl/>
              <w:adjustRightInd w:val="0"/>
              <w:snapToGrid w:val="0"/>
              <w:spacing w:line="360" w:lineRule="auto"/>
              <w:rPr>
                <w:rFonts w:ascii="宋体" w:hAnsi="宋体" w:hint="eastAsia"/>
                <w:sz w:val="24"/>
                <w:szCs w:val="24"/>
              </w:rPr>
            </w:pPr>
            <w:r>
              <w:rPr>
                <w:rFonts w:ascii="宋体" w:hAnsi="宋体" w:hint="eastAsia"/>
                <w:sz w:val="24"/>
                <w:szCs w:val="24"/>
              </w:rPr>
              <w:t>东方红启程三年持有期混合型证券投资基金（A类份额）</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9C41CC" w:rsidRDefault="009C41CC">
            <w:pPr>
              <w:widowControl/>
              <w:adjustRightInd w:val="0"/>
              <w:snapToGrid w:val="0"/>
              <w:spacing w:line="360" w:lineRule="auto"/>
              <w:rPr>
                <w:rFonts w:ascii="宋体" w:hAnsi="宋体" w:hint="eastAsia"/>
                <w:sz w:val="24"/>
                <w:szCs w:val="24"/>
              </w:rPr>
            </w:pPr>
            <w:r>
              <w:rPr>
                <w:rFonts w:ascii="宋体" w:hAnsi="宋体" w:hint="eastAsia"/>
                <w:sz w:val="24"/>
                <w:szCs w:val="24"/>
              </w:rPr>
              <w:t>东方红启程三年持有混合A</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C41CC" w:rsidRDefault="009C41CC">
            <w:pPr>
              <w:widowControl/>
              <w:adjustRightInd w:val="0"/>
              <w:snapToGrid w:val="0"/>
              <w:spacing w:line="360" w:lineRule="auto"/>
              <w:jc w:val="center"/>
              <w:rPr>
                <w:rFonts w:ascii="宋体" w:hAnsi="宋体" w:hint="eastAsia"/>
                <w:sz w:val="24"/>
                <w:szCs w:val="24"/>
              </w:rPr>
            </w:pPr>
            <w:r>
              <w:rPr>
                <w:rFonts w:ascii="宋体" w:hAnsi="宋体" w:hint="eastAsia"/>
                <w:sz w:val="24"/>
                <w:szCs w:val="24"/>
              </w:rPr>
              <w:t>910009</w:t>
            </w:r>
          </w:p>
        </w:tc>
      </w:tr>
      <w:tr w:rsidR="009C41CC" w:rsidTr="009C41CC">
        <w:trPr>
          <w:trHeight w:val="377"/>
          <w:jc w:val="center"/>
        </w:trPr>
        <w:tc>
          <w:tcPr>
            <w:tcW w:w="3369" w:type="dxa"/>
            <w:tcBorders>
              <w:top w:val="single" w:sz="4" w:space="0" w:color="auto"/>
              <w:left w:val="single" w:sz="4" w:space="0" w:color="auto"/>
              <w:bottom w:val="single" w:sz="4" w:space="0" w:color="auto"/>
              <w:right w:val="single" w:sz="4" w:space="0" w:color="auto"/>
            </w:tcBorders>
            <w:noWrap/>
            <w:vAlign w:val="center"/>
            <w:hideMark/>
          </w:tcPr>
          <w:p w:rsidR="009C41CC" w:rsidRDefault="009C41CC">
            <w:pPr>
              <w:widowControl/>
              <w:adjustRightInd w:val="0"/>
              <w:snapToGrid w:val="0"/>
              <w:spacing w:line="360" w:lineRule="auto"/>
              <w:rPr>
                <w:rFonts w:ascii="宋体" w:hAnsi="宋体" w:hint="eastAsia"/>
                <w:sz w:val="24"/>
                <w:szCs w:val="24"/>
              </w:rPr>
            </w:pPr>
            <w:r>
              <w:rPr>
                <w:rFonts w:ascii="宋体" w:hAnsi="宋体" w:hint="eastAsia"/>
                <w:sz w:val="24"/>
                <w:szCs w:val="24"/>
              </w:rPr>
              <w:t>东方红启盛三年持有期混合型证券投资基金（A类份额）</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9C41CC" w:rsidRDefault="009C41CC">
            <w:pPr>
              <w:widowControl/>
              <w:adjustRightInd w:val="0"/>
              <w:snapToGrid w:val="0"/>
              <w:spacing w:line="360" w:lineRule="auto"/>
              <w:rPr>
                <w:rFonts w:ascii="宋体" w:hAnsi="宋体" w:hint="eastAsia"/>
                <w:sz w:val="24"/>
                <w:szCs w:val="24"/>
              </w:rPr>
            </w:pPr>
            <w:r>
              <w:rPr>
                <w:rFonts w:ascii="宋体" w:hAnsi="宋体" w:hint="eastAsia"/>
                <w:sz w:val="24"/>
                <w:szCs w:val="24"/>
              </w:rPr>
              <w:t>东方红启盛三年持有混合A</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C41CC" w:rsidRDefault="009C41CC">
            <w:pPr>
              <w:widowControl/>
              <w:adjustRightInd w:val="0"/>
              <w:snapToGrid w:val="0"/>
              <w:spacing w:line="360" w:lineRule="auto"/>
              <w:jc w:val="center"/>
              <w:rPr>
                <w:rFonts w:ascii="宋体" w:hAnsi="宋体" w:hint="eastAsia"/>
                <w:sz w:val="24"/>
                <w:szCs w:val="24"/>
              </w:rPr>
            </w:pPr>
            <w:r>
              <w:rPr>
                <w:rFonts w:ascii="宋体" w:hAnsi="宋体" w:hint="eastAsia"/>
                <w:sz w:val="24"/>
                <w:szCs w:val="24"/>
              </w:rPr>
              <w:t>910006</w:t>
            </w:r>
          </w:p>
        </w:tc>
      </w:tr>
      <w:tr w:rsidR="009C41CC" w:rsidTr="009C41CC">
        <w:trPr>
          <w:trHeight w:val="746"/>
          <w:jc w:val="center"/>
        </w:trPr>
        <w:tc>
          <w:tcPr>
            <w:tcW w:w="3369" w:type="dxa"/>
            <w:tcBorders>
              <w:top w:val="single" w:sz="4" w:space="0" w:color="auto"/>
              <w:left w:val="single" w:sz="4" w:space="0" w:color="auto"/>
              <w:bottom w:val="single" w:sz="4" w:space="0" w:color="auto"/>
              <w:right w:val="single" w:sz="4" w:space="0" w:color="auto"/>
            </w:tcBorders>
            <w:noWrap/>
            <w:vAlign w:val="center"/>
            <w:hideMark/>
          </w:tcPr>
          <w:p w:rsidR="009C41CC" w:rsidRDefault="009C41CC">
            <w:pPr>
              <w:widowControl/>
              <w:adjustRightInd w:val="0"/>
              <w:snapToGrid w:val="0"/>
              <w:spacing w:line="360" w:lineRule="auto"/>
              <w:rPr>
                <w:rFonts w:ascii="宋体" w:hAnsi="宋体" w:hint="eastAsia"/>
                <w:sz w:val="24"/>
                <w:szCs w:val="24"/>
              </w:rPr>
            </w:pPr>
            <w:r>
              <w:rPr>
                <w:rFonts w:ascii="宋体" w:hAnsi="宋体" w:hint="eastAsia"/>
                <w:sz w:val="24"/>
                <w:szCs w:val="24"/>
              </w:rPr>
              <w:t>东方红启恒三年持有期混合型</w:t>
            </w:r>
            <w:r>
              <w:rPr>
                <w:rFonts w:ascii="宋体" w:hAnsi="宋体" w:hint="eastAsia"/>
                <w:sz w:val="24"/>
                <w:szCs w:val="24"/>
              </w:rPr>
              <w:lastRenderedPageBreak/>
              <w:t>证券投资基金（A类份额）</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9C41CC" w:rsidRDefault="009C41CC">
            <w:pPr>
              <w:widowControl/>
              <w:adjustRightInd w:val="0"/>
              <w:snapToGrid w:val="0"/>
              <w:spacing w:line="360" w:lineRule="auto"/>
              <w:rPr>
                <w:rFonts w:ascii="宋体" w:hAnsi="宋体" w:hint="eastAsia"/>
                <w:sz w:val="24"/>
                <w:szCs w:val="24"/>
              </w:rPr>
            </w:pPr>
            <w:r>
              <w:rPr>
                <w:rFonts w:ascii="宋体" w:hAnsi="宋体" w:hint="eastAsia"/>
                <w:sz w:val="24"/>
                <w:szCs w:val="24"/>
              </w:rPr>
              <w:lastRenderedPageBreak/>
              <w:t>东方红启恒三年持有混</w:t>
            </w:r>
            <w:r>
              <w:rPr>
                <w:rFonts w:ascii="宋体" w:hAnsi="宋体" w:hint="eastAsia"/>
                <w:sz w:val="24"/>
                <w:szCs w:val="24"/>
              </w:rPr>
              <w:lastRenderedPageBreak/>
              <w:t>合A</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C41CC" w:rsidRDefault="009C41CC">
            <w:pPr>
              <w:widowControl/>
              <w:adjustRightInd w:val="0"/>
              <w:snapToGrid w:val="0"/>
              <w:spacing w:line="360" w:lineRule="auto"/>
              <w:jc w:val="center"/>
              <w:rPr>
                <w:rFonts w:ascii="宋体" w:hAnsi="宋体" w:hint="eastAsia"/>
                <w:sz w:val="24"/>
                <w:szCs w:val="24"/>
              </w:rPr>
            </w:pPr>
            <w:r>
              <w:rPr>
                <w:rFonts w:ascii="宋体" w:hAnsi="宋体" w:hint="eastAsia"/>
                <w:sz w:val="24"/>
                <w:szCs w:val="24"/>
              </w:rPr>
              <w:lastRenderedPageBreak/>
              <w:t>910004</w:t>
            </w:r>
          </w:p>
        </w:tc>
      </w:tr>
      <w:tr w:rsidR="009C41CC" w:rsidTr="009C41CC">
        <w:trPr>
          <w:trHeight w:val="746"/>
          <w:jc w:val="center"/>
        </w:trPr>
        <w:tc>
          <w:tcPr>
            <w:tcW w:w="3369" w:type="dxa"/>
            <w:tcBorders>
              <w:top w:val="single" w:sz="4" w:space="0" w:color="auto"/>
              <w:left w:val="single" w:sz="4" w:space="0" w:color="auto"/>
              <w:bottom w:val="single" w:sz="4" w:space="0" w:color="auto"/>
              <w:right w:val="single" w:sz="4" w:space="0" w:color="auto"/>
            </w:tcBorders>
            <w:noWrap/>
            <w:vAlign w:val="center"/>
            <w:hideMark/>
          </w:tcPr>
          <w:p w:rsidR="009C41CC" w:rsidRDefault="009C41CC">
            <w:pPr>
              <w:widowControl/>
              <w:adjustRightInd w:val="0"/>
              <w:snapToGrid w:val="0"/>
              <w:spacing w:line="360" w:lineRule="auto"/>
              <w:rPr>
                <w:rFonts w:ascii="宋体" w:hAnsi="宋体" w:hint="eastAsia"/>
                <w:sz w:val="24"/>
                <w:szCs w:val="24"/>
              </w:rPr>
            </w:pPr>
            <w:r>
              <w:rPr>
                <w:rFonts w:ascii="宋体" w:hAnsi="宋体" w:hint="eastAsia"/>
                <w:sz w:val="24"/>
                <w:szCs w:val="24"/>
              </w:rPr>
              <w:lastRenderedPageBreak/>
              <w:t>东方红启华三年持有期混合型证券投资基金（A类份额）</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9C41CC" w:rsidRDefault="009C41CC">
            <w:pPr>
              <w:widowControl/>
              <w:adjustRightInd w:val="0"/>
              <w:snapToGrid w:val="0"/>
              <w:spacing w:line="360" w:lineRule="auto"/>
              <w:rPr>
                <w:rFonts w:ascii="宋体" w:hAnsi="宋体" w:hint="eastAsia"/>
                <w:sz w:val="24"/>
                <w:szCs w:val="24"/>
              </w:rPr>
            </w:pPr>
            <w:r>
              <w:rPr>
                <w:rFonts w:ascii="宋体" w:hAnsi="宋体" w:hint="eastAsia"/>
                <w:sz w:val="24"/>
                <w:szCs w:val="24"/>
              </w:rPr>
              <w:t>东方红启华三年持有混合A</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C41CC" w:rsidRDefault="009C41CC">
            <w:pPr>
              <w:widowControl/>
              <w:adjustRightInd w:val="0"/>
              <w:snapToGrid w:val="0"/>
              <w:spacing w:line="360" w:lineRule="auto"/>
              <w:jc w:val="center"/>
              <w:rPr>
                <w:rFonts w:ascii="宋体" w:hAnsi="宋体" w:hint="eastAsia"/>
                <w:sz w:val="24"/>
                <w:szCs w:val="24"/>
              </w:rPr>
            </w:pPr>
            <w:r>
              <w:rPr>
                <w:rFonts w:ascii="宋体" w:hAnsi="宋体" w:hint="eastAsia"/>
                <w:sz w:val="24"/>
                <w:szCs w:val="24"/>
              </w:rPr>
              <w:t>910021</w:t>
            </w:r>
          </w:p>
        </w:tc>
      </w:tr>
      <w:tr w:rsidR="009C41CC" w:rsidTr="009C41CC">
        <w:trPr>
          <w:trHeight w:val="746"/>
          <w:jc w:val="center"/>
        </w:trPr>
        <w:tc>
          <w:tcPr>
            <w:tcW w:w="3369" w:type="dxa"/>
            <w:tcBorders>
              <w:top w:val="single" w:sz="4" w:space="0" w:color="auto"/>
              <w:left w:val="single" w:sz="4" w:space="0" w:color="auto"/>
              <w:bottom w:val="single" w:sz="4" w:space="0" w:color="auto"/>
              <w:right w:val="single" w:sz="4" w:space="0" w:color="auto"/>
            </w:tcBorders>
            <w:noWrap/>
            <w:vAlign w:val="center"/>
            <w:hideMark/>
          </w:tcPr>
          <w:p w:rsidR="009C41CC" w:rsidRDefault="009C41CC">
            <w:pPr>
              <w:widowControl/>
              <w:adjustRightInd w:val="0"/>
              <w:snapToGrid w:val="0"/>
              <w:spacing w:line="360" w:lineRule="auto"/>
              <w:jc w:val="left"/>
              <w:rPr>
                <w:rFonts w:ascii="宋体" w:hAnsi="宋体" w:hint="eastAsia"/>
                <w:sz w:val="24"/>
                <w:szCs w:val="24"/>
              </w:rPr>
            </w:pPr>
            <w:r>
              <w:rPr>
                <w:rFonts w:ascii="宋体" w:hAnsi="宋体" w:hint="eastAsia"/>
                <w:sz w:val="24"/>
                <w:szCs w:val="24"/>
              </w:rPr>
              <w:t>东方红内需增长混合型证券投资基金（A类份额）</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9C41CC" w:rsidRDefault="009C41CC">
            <w:pPr>
              <w:widowControl/>
              <w:adjustRightInd w:val="0"/>
              <w:snapToGrid w:val="0"/>
              <w:spacing w:line="360" w:lineRule="auto"/>
              <w:rPr>
                <w:rFonts w:ascii="宋体" w:hAnsi="宋体" w:hint="eastAsia"/>
                <w:sz w:val="24"/>
                <w:szCs w:val="24"/>
              </w:rPr>
            </w:pPr>
            <w:r>
              <w:rPr>
                <w:rFonts w:ascii="宋体" w:hAnsi="宋体" w:hint="eastAsia"/>
                <w:sz w:val="24"/>
                <w:szCs w:val="24"/>
              </w:rPr>
              <w:t>东方红内需增长混合A</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C41CC" w:rsidRDefault="009C41CC">
            <w:pPr>
              <w:widowControl/>
              <w:adjustRightInd w:val="0"/>
              <w:snapToGrid w:val="0"/>
              <w:spacing w:line="360" w:lineRule="auto"/>
              <w:jc w:val="center"/>
              <w:rPr>
                <w:rFonts w:ascii="宋体" w:hAnsi="宋体" w:hint="eastAsia"/>
                <w:sz w:val="24"/>
                <w:szCs w:val="24"/>
              </w:rPr>
            </w:pPr>
            <w:r>
              <w:rPr>
                <w:rFonts w:ascii="宋体" w:hAnsi="宋体" w:hint="eastAsia"/>
                <w:sz w:val="24"/>
                <w:szCs w:val="24"/>
              </w:rPr>
              <w:t>910028</w:t>
            </w:r>
          </w:p>
        </w:tc>
      </w:tr>
      <w:tr w:rsidR="009C41CC" w:rsidTr="009C41CC">
        <w:trPr>
          <w:trHeight w:val="746"/>
          <w:jc w:val="center"/>
        </w:trPr>
        <w:tc>
          <w:tcPr>
            <w:tcW w:w="3369" w:type="dxa"/>
            <w:tcBorders>
              <w:top w:val="single" w:sz="4" w:space="0" w:color="auto"/>
              <w:left w:val="single" w:sz="4" w:space="0" w:color="auto"/>
              <w:bottom w:val="single" w:sz="4" w:space="0" w:color="auto"/>
              <w:right w:val="single" w:sz="4" w:space="0" w:color="auto"/>
            </w:tcBorders>
            <w:noWrap/>
            <w:vAlign w:val="center"/>
            <w:hideMark/>
          </w:tcPr>
          <w:p w:rsidR="009C41CC" w:rsidRDefault="009C41CC">
            <w:pPr>
              <w:widowControl/>
              <w:adjustRightInd w:val="0"/>
              <w:snapToGrid w:val="0"/>
              <w:spacing w:line="360" w:lineRule="auto"/>
              <w:rPr>
                <w:rFonts w:ascii="宋体" w:hAnsi="宋体" w:hint="eastAsia"/>
                <w:sz w:val="24"/>
                <w:szCs w:val="24"/>
              </w:rPr>
            </w:pPr>
            <w:r>
              <w:rPr>
                <w:rFonts w:ascii="宋体" w:hAnsi="宋体" w:hint="eastAsia"/>
                <w:sz w:val="24"/>
                <w:szCs w:val="24"/>
              </w:rPr>
              <w:t>东方红新源三年持有期混合型证券投资基金（A类份额）</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9C41CC" w:rsidRDefault="009C41CC">
            <w:pPr>
              <w:widowControl/>
              <w:adjustRightInd w:val="0"/>
              <w:snapToGrid w:val="0"/>
              <w:spacing w:line="360" w:lineRule="auto"/>
              <w:rPr>
                <w:rFonts w:ascii="宋体" w:hAnsi="宋体" w:hint="eastAsia"/>
                <w:sz w:val="24"/>
                <w:szCs w:val="24"/>
              </w:rPr>
            </w:pPr>
            <w:r>
              <w:rPr>
                <w:rFonts w:ascii="宋体" w:hAnsi="宋体" w:hint="eastAsia"/>
                <w:sz w:val="24"/>
                <w:szCs w:val="24"/>
              </w:rPr>
              <w:t>东方红新源三年持有混合A</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C41CC" w:rsidRDefault="009C41CC">
            <w:pPr>
              <w:widowControl/>
              <w:adjustRightInd w:val="0"/>
              <w:snapToGrid w:val="0"/>
              <w:spacing w:line="360" w:lineRule="auto"/>
              <w:jc w:val="center"/>
              <w:rPr>
                <w:rFonts w:ascii="宋体" w:hAnsi="宋体" w:hint="eastAsia"/>
                <w:sz w:val="24"/>
                <w:szCs w:val="24"/>
              </w:rPr>
            </w:pPr>
            <w:r>
              <w:rPr>
                <w:rFonts w:ascii="宋体" w:hAnsi="宋体" w:hint="eastAsia"/>
                <w:sz w:val="24"/>
                <w:szCs w:val="24"/>
              </w:rPr>
              <w:t>910026</w:t>
            </w:r>
          </w:p>
        </w:tc>
      </w:tr>
      <w:tr w:rsidR="009C41CC" w:rsidTr="009C41CC">
        <w:trPr>
          <w:trHeight w:val="746"/>
          <w:jc w:val="center"/>
        </w:trPr>
        <w:tc>
          <w:tcPr>
            <w:tcW w:w="3369" w:type="dxa"/>
            <w:tcBorders>
              <w:top w:val="single" w:sz="4" w:space="0" w:color="auto"/>
              <w:left w:val="single" w:sz="4" w:space="0" w:color="auto"/>
              <w:bottom w:val="single" w:sz="4" w:space="0" w:color="auto"/>
              <w:right w:val="single" w:sz="4" w:space="0" w:color="auto"/>
            </w:tcBorders>
            <w:noWrap/>
            <w:vAlign w:val="center"/>
            <w:hideMark/>
          </w:tcPr>
          <w:p w:rsidR="009C41CC" w:rsidRDefault="009C41CC">
            <w:pPr>
              <w:adjustRightInd w:val="0"/>
              <w:snapToGrid w:val="0"/>
              <w:spacing w:line="360" w:lineRule="auto"/>
              <w:rPr>
                <w:rFonts w:ascii="宋体" w:hAnsi="宋体" w:hint="eastAsia"/>
                <w:sz w:val="24"/>
                <w:szCs w:val="24"/>
              </w:rPr>
            </w:pPr>
            <w:r>
              <w:rPr>
                <w:rFonts w:ascii="宋体" w:hAnsi="宋体" w:hint="eastAsia"/>
                <w:sz w:val="24"/>
                <w:szCs w:val="24"/>
              </w:rPr>
              <w:t>东方红新海混合型证券投资基金（A类份额）</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9C41CC" w:rsidRDefault="009C41CC">
            <w:pPr>
              <w:widowControl/>
              <w:adjustRightInd w:val="0"/>
              <w:snapToGrid w:val="0"/>
              <w:spacing w:line="360" w:lineRule="auto"/>
              <w:rPr>
                <w:rFonts w:ascii="宋体" w:hAnsi="宋体" w:hint="eastAsia"/>
                <w:sz w:val="24"/>
                <w:szCs w:val="24"/>
              </w:rPr>
            </w:pPr>
            <w:r>
              <w:rPr>
                <w:rFonts w:ascii="宋体" w:hAnsi="宋体" w:hint="eastAsia"/>
                <w:sz w:val="24"/>
                <w:szCs w:val="24"/>
              </w:rPr>
              <w:t>东方红新海混合A</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C41CC" w:rsidRDefault="009C41CC">
            <w:pPr>
              <w:widowControl/>
              <w:adjustRightInd w:val="0"/>
              <w:snapToGrid w:val="0"/>
              <w:spacing w:line="360" w:lineRule="auto"/>
              <w:jc w:val="center"/>
              <w:rPr>
                <w:rFonts w:ascii="宋体" w:hAnsi="宋体" w:hint="eastAsia"/>
                <w:sz w:val="24"/>
                <w:szCs w:val="24"/>
              </w:rPr>
            </w:pPr>
            <w:r>
              <w:rPr>
                <w:rFonts w:ascii="宋体" w:hAnsi="宋体" w:hint="eastAsia"/>
                <w:sz w:val="24"/>
                <w:szCs w:val="24"/>
              </w:rPr>
              <w:t>910010</w:t>
            </w:r>
          </w:p>
        </w:tc>
      </w:tr>
      <w:tr w:rsidR="009C41CC" w:rsidTr="009C41CC">
        <w:trPr>
          <w:trHeight w:val="746"/>
          <w:jc w:val="center"/>
        </w:trPr>
        <w:tc>
          <w:tcPr>
            <w:tcW w:w="3369" w:type="dxa"/>
            <w:tcBorders>
              <w:top w:val="single" w:sz="4" w:space="0" w:color="auto"/>
              <w:left w:val="single" w:sz="4" w:space="0" w:color="auto"/>
              <w:bottom w:val="single" w:sz="4" w:space="0" w:color="auto"/>
              <w:right w:val="single" w:sz="4" w:space="0" w:color="auto"/>
            </w:tcBorders>
            <w:noWrap/>
            <w:vAlign w:val="center"/>
            <w:hideMark/>
          </w:tcPr>
          <w:p w:rsidR="009C41CC" w:rsidRDefault="009C41CC">
            <w:pPr>
              <w:adjustRightInd w:val="0"/>
              <w:snapToGrid w:val="0"/>
              <w:spacing w:line="360" w:lineRule="auto"/>
              <w:rPr>
                <w:rFonts w:ascii="宋体" w:hAnsi="宋体" w:hint="eastAsia"/>
                <w:sz w:val="24"/>
                <w:szCs w:val="24"/>
              </w:rPr>
            </w:pPr>
            <w:r>
              <w:rPr>
                <w:rFonts w:ascii="宋体" w:hAnsi="宋体" w:hint="eastAsia"/>
                <w:sz w:val="24"/>
                <w:szCs w:val="24"/>
              </w:rPr>
              <w:t>东方红启兴三年持有期混合型证券投资基金（A类份额）</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9C41CC" w:rsidRDefault="009C41CC">
            <w:pPr>
              <w:widowControl/>
              <w:adjustRightInd w:val="0"/>
              <w:snapToGrid w:val="0"/>
              <w:spacing w:line="360" w:lineRule="auto"/>
              <w:rPr>
                <w:rFonts w:ascii="宋体" w:hAnsi="宋体" w:hint="eastAsia"/>
                <w:sz w:val="24"/>
                <w:szCs w:val="24"/>
              </w:rPr>
            </w:pPr>
            <w:r>
              <w:rPr>
                <w:rFonts w:ascii="宋体" w:hAnsi="宋体" w:hint="eastAsia"/>
                <w:sz w:val="24"/>
                <w:szCs w:val="24"/>
              </w:rPr>
              <w:t>东方红启兴三年持有混合A</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C41CC" w:rsidRDefault="009C41CC">
            <w:pPr>
              <w:widowControl/>
              <w:adjustRightInd w:val="0"/>
              <w:snapToGrid w:val="0"/>
              <w:spacing w:line="360" w:lineRule="auto"/>
              <w:jc w:val="center"/>
              <w:rPr>
                <w:rFonts w:ascii="宋体" w:hAnsi="宋体" w:hint="eastAsia"/>
                <w:sz w:val="24"/>
                <w:szCs w:val="24"/>
              </w:rPr>
            </w:pPr>
            <w:r>
              <w:rPr>
                <w:rFonts w:ascii="宋体" w:hAnsi="宋体" w:hint="eastAsia"/>
                <w:sz w:val="24"/>
                <w:szCs w:val="24"/>
              </w:rPr>
              <w:t>910005</w:t>
            </w:r>
          </w:p>
        </w:tc>
      </w:tr>
    </w:tbl>
    <w:p w:rsidR="009C41CC" w:rsidRDefault="009C41CC" w:rsidP="009C41CC">
      <w:pPr>
        <w:spacing w:line="360" w:lineRule="auto"/>
        <w:outlineLvl w:val="0"/>
        <w:rPr>
          <w:rFonts w:ascii="宋体" w:hAnsi="宋体" w:hint="eastAsia"/>
          <w:sz w:val="24"/>
          <w:szCs w:val="24"/>
        </w:rPr>
      </w:pPr>
      <w:r>
        <w:rPr>
          <w:rFonts w:ascii="宋体" w:hAnsi="宋体" w:hint="eastAsia"/>
          <w:sz w:val="24"/>
          <w:szCs w:val="24"/>
        </w:rPr>
        <w:t xml:space="preserve"> </w:t>
      </w:r>
    </w:p>
    <w:p w:rsidR="009C41CC" w:rsidRDefault="009C41CC" w:rsidP="009C41CC">
      <w:pPr>
        <w:spacing w:line="360" w:lineRule="auto"/>
        <w:outlineLvl w:val="0"/>
        <w:rPr>
          <w:rFonts w:ascii="宋体" w:hAnsi="宋体" w:hint="eastAsia"/>
          <w:sz w:val="24"/>
          <w:szCs w:val="24"/>
        </w:rPr>
      </w:pPr>
      <w:r>
        <w:rPr>
          <w:rFonts w:ascii="宋体" w:hAnsi="宋体" w:hint="eastAsia"/>
          <w:sz w:val="24"/>
          <w:szCs w:val="24"/>
        </w:rPr>
        <w:t xml:space="preserve">   </w:t>
      </w:r>
      <w:r>
        <w:rPr>
          <w:rFonts w:ascii="宋体" w:hAnsi="宋体" w:hint="eastAsia"/>
          <w:b/>
          <w:bCs/>
          <w:sz w:val="24"/>
          <w:szCs w:val="24"/>
        </w:rPr>
        <w:t xml:space="preserve"> 二、日常转换业务的业务规则</w:t>
      </w:r>
    </w:p>
    <w:p w:rsidR="009C41CC" w:rsidRDefault="009C41CC" w:rsidP="009C41CC">
      <w:pPr>
        <w:autoSpaceDE w:val="0"/>
        <w:autoSpaceDN w:val="0"/>
        <w:adjustRightInd w:val="0"/>
        <w:spacing w:line="360" w:lineRule="auto"/>
        <w:ind w:firstLine="420"/>
        <w:jc w:val="left"/>
        <w:rPr>
          <w:rFonts w:ascii="宋体" w:hAnsi="宋体" w:hint="eastAsia"/>
          <w:sz w:val="24"/>
          <w:szCs w:val="24"/>
        </w:rPr>
      </w:pPr>
      <w:r>
        <w:rPr>
          <w:rFonts w:ascii="宋体" w:hAnsi="宋体" w:hint="eastAsia"/>
          <w:sz w:val="24"/>
          <w:szCs w:val="24"/>
        </w:rPr>
        <w:t xml:space="preserve"> 1、基金转换费用由转出基金的赎回费和基金转换的申购补差费两部分构成，具体收取情况视每次转换时不同基金的申购费率和赎回费率的差异情况而定。基金转换费用由基金份额持有人承担。</w:t>
      </w:r>
    </w:p>
    <w:p w:rsidR="009C41CC" w:rsidRDefault="009C41CC" w:rsidP="009C41CC">
      <w:pPr>
        <w:autoSpaceDE w:val="0"/>
        <w:autoSpaceDN w:val="0"/>
        <w:adjustRightInd w:val="0"/>
        <w:spacing w:line="360" w:lineRule="auto"/>
        <w:ind w:firstLine="420"/>
        <w:jc w:val="left"/>
        <w:rPr>
          <w:rFonts w:ascii="宋体" w:hAnsi="宋体" w:hint="eastAsia"/>
          <w:sz w:val="24"/>
          <w:szCs w:val="24"/>
        </w:rPr>
      </w:pPr>
      <w:r>
        <w:rPr>
          <w:rFonts w:ascii="宋体" w:hAnsi="宋体" w:hint="eastAsia"/>
          <w:sz w:val="24"/>
          <w:szCs w:val="24"/>
        </w:rPr>
        <w:t>假设由基金A（转出基金）转换至基金B（转入基金）：</w:t>
      </w:r>
    </w:p>
    <w:p w:rsidR="009C41CC" w:rsidRDefault="009C41CC" w:rsidP="009C41CC">
      <w:pPr>
        <w:autoSpaceDE w:val="0"/>
        <w:autoSpaceDN w:val="0"/>
        <w:adjustRightInd w:val="0"/>
        <w:spacing w:line="360" w:lineRule="auto"/>
        <w:ind w:firstLine="420"/>
        <w:jc w:val="left"/>
        <w:rPr>
          <w:rFonts w:ascii="宋体" w:hAnsi="宋体" w:hint="eastAsia"/>
          <w:sz w:val="24"/>
          <w:szCs w:val="24"/>
        </w:rPr>
      </w:pPr>
      <w:r>
        <w:rPr>
          <w:rFonts w:ascii="宋体" w:hAnsi="宋体" w:hint="eastAsia"/>
          <w:sz w:val="24"/>
          <w:szCs w:val="24"/>
        </w:rPr>
        <w:t>（1）赎回费：转出基金赎回费按转出基金的赎回费率收取，并按照《开放式证券投资基金销售费用管理规定》的要求将部分赎回费计入转出基金的基金财产。</w:t>
      </w:r>
    </w:p>
    <w:p w:rsidR="009C41CC" w:rsidRDefault="009C41CC" w:rsidP="009C41CC">
      <w:pPr>
        <w:autoSpaceDE w:val="0"/>
        <w:autoSpaceDN w:val="0"/>
        <w:adjustRightInd w:val="0"/>
        <w:spacing w:line="360" w:lineRule="auto"/>
        <w:ind w:firstLine="420"/>
        <w:jc w:val="left"/>
        <w:rPr>
          <w:rFonts w:ascii="宋体" w:hAnsi="宋体" w:hint="eastAsia"/>
          <w:sz w:val="24"/>
          <w:szCs w:val="24"/>
        </w:rPr>
      </w:pPr>
      <w:r>
        <w:rPr>
          <w:rFonts w:ascii="宋体" w:hAnsi="宋体" w:hint="eastAsia"/>
          <w:sz w:val="24"/>
          <w:szCs w:val="24"/>
        </w:rPr>
        <w:t>转出确认份额=转出申请份额×转换确认比例</w:t>
      </w:r>
    </w:p>
    <w:p w:rsidR="009C41CC" w:rsidRDefault="009C41CC" w:rsidP="009C41CC">
      <w:pPr>
        <w:autoSpaceDE w:val="0"/>
        <w:autoSpaceDN w:val="0"/>
        <w:adjustRightInd w:val="0"/>
        <w:spacing w:line="360" w:lineRule="auto"/>
        <w:ind w:firstLine="420"/>
        <w:jc w:val="left"/>
        <w:rPr>
          <w:rFonts w:ascii="宋体" w:hAnsi="宋体" w:hint="eastAsia"/>
          <w:sz w:val="24"/>
          <w:szCs w:val="24"/>
        </w:rPr>
      </w:pPr>
      <w:r>
        <w:rPr>
          <w:rFonts w:ascii="宋体" w:hAnsi="宋体" w:hint="eastAsia"/>
          <w:sz w:val="24"/>
          <w:szCs w:val="24"/>
        </w:rPr>
        <w:t>赎回费=Σ（（转出明细确认份额×基金A基金份额净值-业绩报酬（如有））×赎回费率）</w:t>
      </w:r>
    </w:p>
    <w:p w:rsidR="009C41CC" w:rsidRDefault="009C41CC" w:rsidP="009C41CC">
      <w:pPr>
        <w:autoSpaceDE w:val="0"/>
        <w:autoSpaceDN w:val="0"/>
        <w:adjustRightInd w:val="0"/>
        <w:spacing w:line="360" w:lineRule="auto"/>
        <w:ind w:firstLine="420"/>
        <w:jc w:val="left"/>
        <w:rPr>
          <w:rFonts w:ascii="宋体" w:hAnsi="宋体" w:hint="eastAsia"/>
          <w:sz w:val="24"/>
          <w:szCs w:val="24"/>
        </w:rPr>
      </w:pPr>
      <w:r>
        <w:rPr>
          <w:rFonts w:ascii="宋体" w:hAnsi="宋体" w:hint="eastAsia"/>
          <w:sz w:val="24"/>
          <w:szCs w:val="24"/>
        </w:rPr>
        <w:t>（2）申购补差费：</w:t>
      </w:r>
    </w:p>
    <w:p w:rsidR="009C41CC" w:rsidRDefault="009C41CC" w:rsidP="009C41CC">
      <w:pPr>
        <w:autoSpaceDE w:val="0"/>
        <w:autoSpaceDN w:val="0"/>
        <w:adjustRightInd w:val="0"/>
        <w:spacing w:line="360" w:lineRule="auto"/>
        <w:ind w:firstLine="420"/>
        <w:jc w:val="left"/>
        <w:rPr>
          <w:rFonts w:ascii="宋体" w:hAnsi="宋体" w:hint="eastAsia"/>
          <w:sz w:val="24"/>
          <w:szCs w:val="24"/>
        </w:rPr>
      </w:pPr>
      <w:r>
        <w:rPr>
          <w:rFonts w:ascii="宋体" w:hAnsi="宋体" w:hint="eastAsia"/>
          <w:sz w:val="24"/>
          <w:szCs w:val="24"/>
        </w:rPr>
        <w:t>①当基金A和基金B的申购费均为非固定费用时，申购补差费率指转入基金与转出基金的申购费率之差。当转入基金的申购费率高于转出基金的申购费率时，申购补差费为转入基金和转出基金的申购费差额，反之则不收取申购补差费。各基金的申购费率以转出确认金额（即转出确认份额×基金A份额净值）确定适用费率，具体以各基金的招募说明书及相关公告约定为准。对于通过直销柜台实施</w:t>
      </w:r>
      <w:r>
        <w:rPr>
          <w:rFonts w:ascii="宋体" w:hAnsi="宋体" w:hint="eastAsia"/>
          <w:sz w:val="24"/>
          <w:szCs w:val="24"/>
        </w:rPr>
        <w:lastRenderedPageBreak/>
        <w:t>差别申购费率的养老金客户，计算申购补差费率时，基金的申购费率按照“除养老金客户之外的其他投资者”的申购费率计算。</w:t>
      </w:r>
    </w:p>
    <w:p w:rsidR="009C41CC" w:rsidRDefault="009C41CC" w:rsidP="009C41CC">
      <w:pPr>
        <w:autoSpaceDE w:val="0"/>
        <w:autoSpaceDN w:val="0"/>
        <w:adjustRightInd w:val="0"/>
        <w:spacing w:line="360" w:lineRule="auto"/>
        <w:ind w:firstLine="420"/>
        <w:jc w:val="left"/>
        <w:rPr>
          <w:rFonts w:ascii="宋体" w:hAnsi="宋体" w:hint="eastAsia"/>
          <w:sz w:val="24"/>
          <w:szCs w:val="24"/>
        </w:rPr>
      </w:pPr>
      <w:r>
        <w:rPr>
          <w:rFonts w:ascii="宋体" w:hAnsi="宋体" w:hint="eastAsia"/>
          <w:sz w:val="24"/>
          <w:szCs w:val="24"/>
        </w:rPr>
        <w:t>申购补差费率=基金B的申购费率-基金A的申购费率</w:t>
      </w:r>
    </w:p>
    <w:p w:rsidR="009C41CC" w:rsidRDefault="009C41CC" w:rsidP="009C41CC">
      <w:pPr>
        <w:autoSpaceDE w:val="0"/>
        <w:autoSpaceDN w:val="0"/>
        <w:adjustRightInd w:val="0"/>
        <w:spacing w:line="360" w:lineRule="auto"/>
        <w:ind w:firstLine="420"/>
        <w:jc w:val="left"/>
        <w:rPr>
          <w:rFonts w:ascii="宋体" w:hAnsi="宋体" w:hint="eastAsia"/>
          <w:sz w:val="24"/>
          <w:szCs w:val="24"/>
        </w:rPr>
      </w:pPr>
      <w:r>
        <w:rPr>
          <w:rFonts w:ascii="宋体" w:hAnsi="宋体" w:hint="eastAsia"/>
          <w:sz w:val="24"/>
          <w:szCs w:val="24"/>
        </w:rPr>
        <w:t>申购补差费=（转出确认金额-业绩报酬（如有）-赎回费）×申购补差费率/（1+申购补差费率）</w:t>
      </w:r>
    </w:p>
    <w:p w:rsidR="009C41CC" w:rsidRDefault="009C41CC" w:rsidP="009C41CC">
      <w:pPr>
        <w:autoSpaceDE w:val="0"/>
        <w:autoSpaceDN w:val="0"/>
        <w:adjustRightInd w:val="0"/>
        <w:spacing w:line="360" w:lineRule="auto"/>
        <w:ind w:firstLine="420"/>
        <w:jc w:val="left"/>
        <w:rPr>
          <w:rFonts w:ascii="宋体" w:hAnsi="宋体" w:hint="eastAsia"/>
          <w:sz w:val="24"/>
          <w:szCs w:val="24"/>
        </w:rPr>
      </w:pPr>
      <w:r>
        <w:rPr>
          <w:rFonts w:ascii="宋体" w:hAnsi="宋体" w:hint="eastAsia"/>
          <w:sz w:val="24"/>
          <w:szCs w:val="24"/>
        </w:rPr>
        <w:t>②当基金A或基金B的申购费为固定费用时，</w:t>
      </w:r>
    </w:p>
    <w:p w:rsidR="009C41CC" w:rsidRDefault="009C41CC" w:rsidP="009C41CC">
      <w:pPr>
        <w:autoSpaceDE w:val="0"/>
        <w:autoSpaceDN w:val="0"/>
        <w:adjustRightInd w:val="0"/>
        <w:spacing w:line="360" w:lineRule="auto"/>
        <w:ind w:firstLine="420"/>
        <w:jc w:val="left"/>
        <w:rPr>
          <w:rFonts w:ascii="宋体" w:hAnsi="宋体" w:hint="eastAsia"/>
          <w:sz w:val="24"/>
          <w:szCs w:val="24"/>
        </w:rPr>
      </w:pPr>
      <w:r>
        <w:rPr>
          <w:rFonts w:ascii="宋体" w:hAnsi="宋体" w:hint="eastAsia"/>
          <w:sz w:val="24"/>
          <w:szCs w:val="24"/>
        </w:rPr>
        <w:t>申购补差费=基金B的申购费-基金A的申购费</w:t>
      </w:r>
    </w:p>
    <w:p w:rsidR="009C41CC" w:rsidRDefault="009C41CC" w:rsidP="009C41CC">
      <w:pPr>
        <w:autoSpaceDE w:val="0"/>
        <w:autoSpaceDN w:val="0"/>
        <w:adjustRightInd w:val="0"/>
        <w:spacing w:line="360" w:lineRule="auto"/>
        <w:ind w:firstLine="420"/>
        <w:jc w:val="left"/>
        <w:rPr>
          <w:rFonts w:ascii="宋体" w:hAnsi="宋体" w:hint="eastAsia"/>
          <w:sz w:val="24"/>
          <w:szCs w:val="24"/>
        </w:rPr>
      </w:pPr>
      <w:r>
        <w:rPr>
          <w:rFonts w:ascii="宋体" w:hAnsi="宋体" w:hint="eastAsia"/>
          <w:sz w:val="24"/>
          <w:szCs w:val="24"/>
        </w:rPr>
        <w:t>如果基金B的申购费≤基金A的申购费，则申购补差费为0。</w:t>
      </w:r>
    </w:p>
    <w:p w:rsidR="009C41CC" w:rsidRDefault="009C41CC" w:rsidP="009C41CC">
      <w:pPr>
        <w:spacing w:line="360" w:lineRule="auto"/>
        <w:outlineLvl w:val="0"/>
        <w:rPr>
          <w:rFonts w:ascii="宋体" w:hAnsi="宋体" w:hint="eastAsia"/>
          <w:sz w:val="24"/>
          <w:szCs w:val="24"/>
        </w:rPr>
      </w:pPr>
      <w:r>
        <w:rPr>
          <w:rFonts w:ascii="宋体" w:hAnsi="宋体" w:hint="eastAsia"/>
          <w:sz w:val="24"/>
          <w:szCs w:val="24"/>
        </w:rPr>
        <w:tab/>
        <w:t>2、可与上述基金份额办理转换业务的基金明细详见https://www.dfham.com/service/selfhelp/zhuanhuan/index.html。本基金管理人可根据实际情况调整转换业务规则并及时公告，敬请投资者关注。</w:t>
      </w:r>
    </w:p>
    <w:p w:rsidR="009C41CC" w:rsidRDefault="009C41CC" w:rsidP="009C41CC">
      <w:pPr>
        <w:widowControl/>
        <w:numPr>
          <w:ilvl w:val="0"/>
          <w:numId w:val="1"/>
        </w:numPr>
        <w:spacing w:line="360" w:lineRule="auto"/>
        <w:ind w:firstLine="420"/>
        <w:jc w:val="left"/>
        <w:outlineLvl w:val="0"/>
        <w:rPr>
          <w:rFonts w:hint="eastAsia"/>
          <w:sz w:val="24"/>
          <w:szCs w:val="24"/>
        </w:rPr>
      </w:pPr>
      <w:r>
        <w:rPr>
          <w:rFonts w:ascii="宋体" w:hAnsi="宋体" w:hint="eastAsia"/>
          <w:sz w:val="24"/>
          <w:szCs w:val="24"/>
        </w:rPr>
        <w:t>投资者办理相关基金转换业务时，转出基金需处于开放赎回状态，转入基金需处于开放申购状态，且单笔转换份额不得低于10份，各销售机构对单笔转换最低份额限制有其他规定的，需同时遵循该销售机构的相关规定。 转出和转入基金的金额限制以相关基金的最新业务公告为准。</w:t>
      </w:r>
    </w:p>
    <w:p w:rsidR="009C41CC" w:rsidRDefault="009C41CC" w:rsidP="009C41CC">
      <w:pPr>
        <w:widowControl/>
        <w:numPr>
          <w:ilvl w:val="0"/>
          <w:numId w:val="1"/>
        </w:numPr>
        <w:spacing w:line="360" w:lineRule="auto"/>
        <w:ind w:firstLine="420"/>
        <w:jc w:val="left"/>
        <w:outlineLvl w:val="0"/>
        <w:rPr>
          <w:sz w:val="24"/>
          <w:szCs w:val="24"/>
        </w:rPr>
      </w:pPr>
      <w:r>
        <w:rPr>
          <w:rFonts w:ascii="宋体" w:hAnsi="宋体" w:hint="eastAsia"/>
          <w:color w:val="000000"/>
          <w:sz w:val="24"/>
          <w:szCs w:val="24"/>
        </w:rPr>
        <w:t>由于各销售机构的系统差异以及业务安排等原因，</w:t>
      </w:r>
      <w:r>
        <w:rPr>
          <w:rFonts w:ascii="宋体" w:hAnsi="宋体" w:cs="宋体"/>
          <w:color w:val="000000"/>
          <w:sz w:val="24"/>
          <w:szCs w:val="24"/>
        </w:rPr>
        <w:t>是否开展转换业务及</w:t>
      </w:r>
      <w:r>
        <w:rPr>
          <w:rFonts w:ascii="宋体" w:hAnsi="宋体" w:hint="eastAsia"/>
          <w:color w:val="000000"/>
          <w:sz w:val="24"/>
          <w:szCs w:val="24"/>
        </w:rPr>
        <w:t>开展该业务的时间可能有所不同，投资者应以各销售机构</w:t>
      </w:r>
      <w:r>
        <w:rPr>
          <w:rFonts w:ascii="宋体" w:hAnsi="宋体" w:cs="宋体"/>
          <w:color w:val="000000"/>
          <w:sz w:val="24"/>
          <w:szCs w:val="24"/>
        </w:rPr>
        <w:t>开展该业务的</w:t>
      </w:r>
      <w:r>
        <w:rPr>
          <w:rFonts w:ascii="宋体" w:hAnsi="宋体" w:hint="eastAsia"/>
          <w:color w:val="000000"/>
          <w:sz w:val="24"/>
          <w:szCs w:val="24"/>
        </w:rPr>
        <w:t>时间</w:t>
      </w:r>
      <w:r>
        <w:rPr>
          <w:rFonts w:ascii="宋体" w:hAnsi="宋体" w:cs="宋体"/>
          <w:color w:val="000000"/>
          <w:sz w:val="24"/>
          <w:szCs w:val="24"/>
        </w:rPr>
        <w:t>和办理业务规则</w:t>
      </w:r>
      <w:r>
        <w:rPr>
          <w:rFonts w:ascii="宋体" w:hAnsi="宋体" w:hint="eastAsia"/>
          <w:color w:val="000000"/>
          <w:sz w:val="24"/>
          <w:szCs w:val="24"/>
        </w:rPr>
        <w:t>为准。</w:t>
      </w:r>
    </w:p>
    <w:p w:rsidR="009C41CC" w:rsidRDefault="009C41CC" w:rsidP="009C41CC">
      <w:pPr>
        <w:spacing w:line="360" w:lineRule="auto"/>
        <w:outlineLvl w:val="0"/>
        <w:rPr>
          <w:rFonts w:ascii="宋体" w:hAnsi="宋体"/>
          <w:sz w:val="24"/>
          <w:szCs w:val="24"/>
        </w:rPr>
      </w:pPr>
      <w:r>
        <w:rPr>
          <w:rFonts w:ascii="宋体" w:hAnsi="宋体" w:hint="eastAsia"/>
          <w:sz w:val="24"/>
          <w:szCs w:val="24"/>
        </w:rPr>
        <w:t xml:space="preserve"> </w:t>
      </w:r>
    </w:p>
    <w:p w:rsidR="009C41CC" w:rsidRDefault="009C41CC" w:rsidP="009C41CC">
      <w:pPr>
        <w:spacing w:line="360" w:lineRule="auto"/>
        <w:ind w:firstLineChars="200" w:firstLine="480"/>
        <w:outlineLvl w:val="0"/>
        <w:rPr>
          <w:rFonts w:ascii="宋体" w:hAnsi="宋体" w:hint="eastAsia"/>
          <w:sz w:val="24"/>
          <w:szCs w:val="24"/>
        </w:rPr>
      </w:pPr>
      <w:r>
        <w:rPr>
          <w:rFonts w:ascii="宋体" w:hAnsi="宋体" w:hint="eastAsia"/>
          <w:sz w:val="24"/>
          <w:szCs w:val="24"/>
        </w:rPr>
        <w:t>如有疑问，投资者可通过以下途径了解或咨询详请：公司网站: http://www.dfham.com；公司客服热线: 400-920-0808。</w:t>
      </w:r>
    </w:p>
    <w:p w:rsidR="009C41CC" w:rsidRDefault="009C41CC" w:rsidP="009C41CC">
      <w:pPr>
        <w:spacing w:line="360" w:lineRule="auto"/>
        <w:ind w:firstLineChars="200" w:firstLine="480"/>
        <w:outlineLvl w:val="0"/>
        <w:rPr>
          <w:rFonts w:ascii="等线" w:hAnsi="等线" w:hint="eastAsia"/>
          <w:color w:val="000000"/>
          <w:kern w:val="0"/>
          <w:sz w:val="24"/>
          <w:szCs w:val="24"/>
          <w:shd w:val="clear" w:color="auto" w:fill="FFFFFF"/>
        </w:rPr>
      </w:pPr>
      <w:r>
        <w:rPr>
          <w:rFonts w:ascii="等线" w:hAnsi="等线" w:hint="eastAsia"/>
          <w:color w:val="000000"/>
          <w:kern w:val="0"/>
          <w:sz w:val="24"/>
          <w:szCs w:val="24"/>
          <w:shd w:val="clear" w:color="auto" w:fill="FFFFFF"/>
        </w:rPr>
        <w:t xml:space="preserve"> </w:t>
      </w:r>
    </w:p>
    <w:p w:rsidR="009C41CC" w:rsidRDefault="009C41CC" w:rsidP="009C41CC">
      <w:pPr>
        <w:spacing w:line="360" w:lineRule="auto"/>
        <w:ind w:firstLineChars="200" w:firstLine="482"/>
        <w:rPr>
          <w:rFonts w:ascii="等线" w:hAnsi="等线" w:hint="eastAsia"/>
          <w:color w:val="000000"/>
          <w:kern w:val="0"/>
          <w:sz w:val="24"/>
          <w:szCs w:val="24"/>
          <w:shd w:val="clear" w:color="auto" w:fill="FFFFFF"/>
        </w:rPr>
      </w:pPr>
      <w:r>
        <w:rPr>
          <w:rFonts w:ascii="宋体" w:hAnsi="宋体" w:hint="eastAsia"/>
          <w:b/>
          <w:color w:val="000000"/>
          <w:kern w:val="0"/>
          <w:sz w:val="24"/>
          <w:szCs w:val="24"/>
          <w:shd w:val="clear" w:color="auto" w:fill="FFFFFF"/>
        </w:rPr>
        <w:t>风险提示：</w:t>
      </w:r>
      <w:r>
        <w:rPr>
          <w:rFonts w:ascii="宋体" w:hAnsi="宋体" w:hint="eastAsia"/>
          <w:color w:val="000000"/>
          <w:kern w:val="0"/>
          <w:sz w:val="24"/>
          <w:szCs w:val="24"/>
          <w:shd w:val="clear" w:color="auto" w:fill="FFFFFF"/>
        </w:rPr>
        <w:t>本公司承诺以诚实信用、勤勉尽责的原则管理和运用基金资产，但不保证基金一定盈利，也不保证最低收益。投资者投资于上述基金前应认真阅读最新的基金合同、招募说明书、基金产品资料概要及相关业务公告。基金投资需谨慎，敬请投资者注意投资风险。敬请投资者关注适当性管理相关规定，提前做好风险测评，并根据自身的风险承受能力购买风险等级相匹配的产品。</w:t>
      </w:r>
    </w:p>
    <w:p w:rsidR="009C41CC" w:rsidRDefault="009C41CC" w:rsidP="009C41CC">
      <w:pPr>
        <w:spacing w:line="360" w:lineRule="auto"/>
        <w:ind w:firstLineChars="200" w:firstLine="480"/>
        <w:outlineLvl w:val="0"/>
        <w:rPr>
          <w:rFonts w:ascii="宋体" w:hAnsi="宋体" w:hint="eastAsia"/>
          <w:sz w:val="24"/>
          <w:szCs w:val="24"/>
        </w:rPr>
      </w:pPr>
      <w:r>
        <w:rPr>
          <w:rFonts w:ascii="宋体" w:hAnsi="宋体" w:hint="eastAsia"/>
          <w:sz w:val="24"/>
          <w:szCs w:val="24"/>
        </w:rPr>
        <w:t xml:space="preserve"> </w:t>
      </w:r>
    </w:p>
    <w:p w:rsidR="009C41CC" w:rsidRDefault="009C41CC" w:rsidP="009C41CC">
      <w:pPr>
        <w:spacing w:line="360" w:lineRule="auto"/>
        <w:ind w:firstLineChars="200" w:firstLine="480"/>
        <w:jc w:val="right"/>
        <w:rPr>
          <w:rFonts w:ascii="等线" w:hAnsi="等线" w:hint="eastAsia"/>
          <w:color w:val="000000"/>
          <w:kern w:val="0"/>
          <w:sz w:val="24"/>
          <w:szCs w:val="24"/>
          <w:shd w:val="clear" w:color="auto" w:fill="FFFFFF"/>
        </w:rPr>
      </w:pPr>
      <w:r>
        <w:rPr>
          <w:rFonts w:ascii="宋体" w:hAnsi="宋体" w:hint="eastAsia"/>
          <w:color w:val="000000"/>
          <w:kern w:val="0"/>
          <w:sz w:val="24"/>
          <w:szCs w:val="24"/>
          <w:shd w:val="clear" w:color="auto" w:fill="FFFFFF"/>
        </w:rPr>
        <w:t>上海东方证券资产管理有限公司</w:t>
      </w:r>
    </w:p>
    <w:p w:rsidR="009C41CC" w:rsidRDefault="009C41CC" w:rsidP="009C41CC">
      <w:pPr>
        <w:rPr>
          <w:rFonts w:hint="eastAsia"/>
        </w:rPr>
      </w:pPr>
      <w:r>
        <w:rPr>
          <w:rFonts w:ascii="宋体" w:hAnsi="宋体"/>
          <w:color w:val="000000"/>
          <w:kern w:val="0"/>
          <w:sz w:val="24"/>
          <w:szCs w:val="24"/>
          <w:shd w:val="clear" w:color="auto" w:fill="FFFFFF"/>
        </w:rPr>
        <w:tab/>
      </w:r>
      <w:r>
        <w:rPr>
          <w:rFonts w:ascii="宋体" w:hAnsi="宋体"/>
          <w:color w:val="000000"/>
          <w:kern w:val="0"/>
          <w:sz w:val="24"/>
          <w:szCs w:val="24"/>
          <w:shd w:val="clear" w:color="auto" w:fill="FFFFFF"/>
        </w:rPr>
        <w:tab/>
      </w:r>
      <w:r>
        <w:rPr>
          <w:rFonts w:ascii="宋体" w:hAnsi="宋体"/>
          <w:color w:val="000000"/>
          <w:kern w:val="0"/>
          <w:sz w:val="24"/>
          <w:szCs w:val="24"/>
          <w:shd w:val="clear" w:color="auto" w:fill="FFFFFF"/>
        </w:rPr>
        <w:tab/>
      </w:r>
      <w:r>
        <w:rPr>
          <w:rFonts w:ascii="宋体" w:hAnsi="宋体"/>
          <w:color w:val="000000"/>
          <w:kern w:val="0"/>
          <w:sz w:val="24"/>
          <w:szCs w:val="24"/>
          <w:shd w:val="clear" w:color="auto" w:fill="FFFFFF"/>
        </w:rPr>
        <w:tab/>
      </w:r>
      <w:r>
        <w:rPr>
          <w:rFonts w:ascii="宋体" w:hAnsi="宋体"/>
          <w:color w:val="000000"/>
          <w:kern w:val="0"/>
          <w:sz w:val="24"/>
          <w:szCs w:val="24"/>
          <w:shd w:val="clear" w:color="auto" w:fill="FFFFFF"/>
        </w:rPr>
        <w:tab/>
      </w:r>
      <w:r>
        <w:rPr>
          <w:rFonts w:ascii="宋体" w:hAnsi="宋体"/>
          <w:color w:val="000000"/>
          <w:kern w:val="0"/>
          <w:sz w:val="24"/>
          <w:szCs w:val="24"/>
          <w:shd w:val="clear" w:color="auto" w:fill="FFFFFF"/>
        </w:rPr>
        <w:tab/>
      </w:r>
      <w:r>
        <w:rPr>
          <w:rFonts w:ascii="宋体" w:hAnsi="宋体"/>
          <w:color w:val="000000"/>
          <w:kern w:val="0"/>
          <w:sz w:val="24"/>
          <w:szCs w:val="24"/>
          <w:shd w:val="clear" w:color="auto" w:fill="FFFFFF"/>
        </w:rPr>
        <w:tab/>
      </w:r>
      <w:r>
        <w:rPr>
          <w:rFonts w:ascii="宋体" w:hAnsi="宋体"/>
          <w:color w:val="000000"/>
          <w:kern w:val="0"/>
          <w:sz w:val="24"/>
          <w:szCs w:val="24"/>
          <w:shd w:val="clear" w:color="auto" w:fill="FFFFFF"/>
        </w:rPr>
        <w:tab/>
      </w:r>
      <w:r>
        <w:rPr>
          <w:rFonts w:ascii="宋体" w:hAnsi="宋体"/>
          <w:color w:val="000000"/>
          <w:kern w:val="0"/>
          <w:sz w:val="24"/>
          <w:szCs w:val="24"/>
          <w:shd w:val="clear" w:color="auto" w:fill="FFFFFF"/>
        </w:rPr>
        <w:tab/>
      </w:r>
      <w:r>
        <w:rPr>
          <w:rFonts w:ascii="宋体" w:hAnsi="宋体"/>
          <w:color w:val="000000"/>
          <w:kern w:val="0"/>
          <w:sz w:val="24"/>
          <w:szCs w:val="24"/>
          <w:shd w:val="clear" w:color="auto" w:fill="FFFFFF"/>
        </w:rPr>
        <w:tab/>
      </w:r>
      <w:r>
        <w:rPr>
          <w:rFonts w:ascii="宋体" w:hAnsi="宋体"/>
          <w:color w:val="000000"/>
          <w:kern w:val="0"/>
          <w:sz w:val="24"/>
          <w:szCs w:val="24"/>
          <w:shd w:val="clear" w:color="auto" w:fill="FFFFFF"/>
        </w:rPr>
        <w:tab/>
      </w:r>
      <w:r>
        <w:rPr>
          <w:rFonts w:ascii="宋体" w:hAnsi="宋体"/>
          <w:color w:val="000000"/>
          <w:kern w:val="0"/>
          <w:sz w:val="24"/>
          <w:szCs w:val="24"/>
          <w:shd w:val="clear" w:color="auto" w:fill="FFFFFF"/>
        </w:rPr>
        <w:tab/>
      </w:r>
      <w:r>
        <w:rPr>
          <w:rFonts w:ascii="宋体" w:hAnsi="宋体"/>
          <w:color w:val="000000"/>
          <w:kern w:val="0"/>
          <w:sz w:val="24"/>
          <w:szCs w:val="24"/>
          <w:shd w:val="clear" w:color="auto" w:fill="FFFFFF"/>
        </w:rPr>
        <w:tab/>
      </w:r>
      <w:r>
        <w:rPr>
          <w:rFonts w:ascii="宋体" w:hAnsi="宋体"/>
          <w:color w:val="000000"/>
          <w:kern w:val="0"/>
          <w:sz w:val="24"/>
          <w:szCs w:val="24"/>
          <w:shd w:val="clear" w:color="auto" w:fill="FFFFFF"/>
        </w:rPr>
        <w:tab/>
      </w:r>
      <w:r>
        <w:rPr>
          <w:rFonts w:ascii="宋体" w:hAnsi="宋体"/>
          <w:color w:val="000000"/>
          <w:kern w:val="0"/>
          <w:sz w:val="24"/>
          <w:szCs w:val="24"/>
          <w:shd w:val="clear" w:color="auto" w:fill="FFFFFF"/>
        </w:rPr>
        <w:tab/>
      </w:r>
      <w:r>
        <w:rPr>
          <w:rFonts w:ascii="宋体" w:hAnsi="宋体" w:hint="eastAsia"/>
          <w:color w:val="000000"/>
          <w:kern w:val="0"/>
          <w:sz w:val="24"/>
          <w:szCs w:val="24"/>
          <w:shd w:val="clear" w:color="auto" w:fill="FFFFFF"/>
        </w:rPr>
        <w:t>2023年11月13日</w:t>
      </w:r>
    </w:p>
    <w:p w:rsidR="00290D3F" w:rsidRDefault="00290D3F">
      <w:pPr>
        <w:rPr>
          <w:rFonts w:hint="eastAsia"/>
        </w:rPr>
      </w:pPr>
    </w:p>
    <w:sectPr w:rsidR="00290D3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333CE"/>
    <w:multiLevelType w:val="multilevel"/>
    <w:tmpl w:val="6168614E"/>
    <w:lvl w:ilvl="0">
      <w:start w:val="3"/>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41CC"/>
    <w:rsid w:val="0007220E"/>
    <w:rsid w:val="00290D3F"/>
    <w:rsid w:val="004B7542"/>
    <w:rsid w:val="006B5F2F"/>
    <w:rsid w:val="008133E6"/>
    <w:rsid w:val="009C41CC"/>
    <w:rsid w:val="00FE2BE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1CC"/>
    <w:pPr>
      <w:widowControl w:val="0"/>
      <w:jc w:val="both"/>
    </w:pPr>
    <w:rPr>
      <w:rFonts w:ascii="Times New Roman" w:eastAsia="宋体"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0185145">
      <w:bodyDiv w:val="1"/>
      <w:marLeft w:val="0"/>
      <w:marRight w:val="0"/>
      <w:marTop w:val="0"/>
      <w:marBottom w:val="0"/>
      <w:divBdr>
        <w:top w:val="none" w:sz="0" w:space="0" w:color="auto"/>
        <w:left w:val="none" w:sz="0" w:space="0" w:color="auto"/>
        <w:bottom w:val="none" w:sz="0" w:space="0" w:color="auto"/>
        <w:right w:val="none" w:sz="0" w:space="0" w:color="auto"/>
      </w:divBdr>
      <w:divsChild>
        <w:div w:id="1079208675">
          <w:marLeft w:val="0"/>
          <w:marRight w:val="0"/>
          <w:marTop w:val="0"/>
          <w:marBottom w:val="0"/>
          <w:divBdr>
            <w:top w:val="none" w:sz="0" w:space="0" w:color="auto"/>
            <w:left w:val="none" w:sz="0" w:space="0" w:color="auto"/>
            <w:bottom w:val="none" w:sz="0" w:space="0" w:color="auto"/>
            <w:right w:val="none" w:sz="0" w:space="0" w:color="auto"/>
          </w:divBdr>
        </w:div>
      </w:divsChild>
    </w:div>
    <w:div w:id="1286810300">
      <w:bodyDiv w:val="1"/>
      <w:marLeft w:val="0"/>
      <w:marRight w:val="0"/>
      <w:marTop w:val="0"/>
      <w:marBottom w:val="0"/>
      <w:divBdr>
        <w:top w:val="none" w:sz="0" w:space="0" w:color="auto"/>
        <w:left w:val="none" w:sz="0" w:space="0" w:color="auto"/>
        <w:bottom w:val="none" w:sz="0" w:space="0" w:color="auto"/>
        <w:right w:val="none" w:sz="0" w:space="0" w:color="auto"/>
      </w:divBdr>
      <w:divsChild>
        <w:div w:id="364721653">
          <w:marLeft w:val="0"/>
          <w:marRight w:val="0"/>
          <w:marTop w:val="0"/>
          <w:marBottom w:val="0"/>
          <w:divBdr>
            <w:top w:val="none" w:sz="0" w:space="0" w:color="auto"/>
            <w:left w:val="none" w:sz="0" w:space="0" w:color="auto"/>
            <w:bottom w:val="none" w:sz="0" w:space="0" w:color="auto"/>
            <w:right w:val="none" w:sz="0" w:space="0" w:color="auto"/>
          </w:divBdr>
          <w:divsChild>
            <w:div w:id="469204107">
              <w:marLeft w:val="0"/>
              <w:marRight w:val="0"/>
              <w:marTop w:val="0"/>
              <w:marBottom w:val="330"/>
              <w:divBdr>
                <w:top w:val="none" w:sz="0" w:space="0" w:color="auto"/>
                <w:left w:val="none" w:sz="0" w:space="0" w:color="auto"/>
                <w:bottom w:val="none" w:sz="0" w:space="0" w:color="auto"/>
                <w:right w:val="none" w:sz="0" w:space="0" w:color="auto"/>
              </w:divBdr>
              <w:divsChild>
                <w:div w:id="1933926614">
                  <w:marLeft w:val="1800"/>
                  <w:marRight w:val="0"/>
                  <w:marTop w:val="0"/>
                  <w:marBottom w:val="0"/>
                  <w:divBdr>
                    <w:top w:val="none" w:sz="0" w:space="0" w:color="auto"/>
                    <w:left w:val="none" w:sz="0" w:space="0" w:color="auto"/>
                    <w:bottom w:val="none" w:sz="0" w:space="0" w:color="auto"/>
                    <w:right w:val="none" w:sz="0" w:space="0" w:color="auto"/>
                  </w:divBdr>
                  <w:divsChild>
                    <w:div w:id="1330983886">
                      <w:marLeft w:val="0"/>
                      <w:marRight w:val="0"/>
                      <w:marTop w:val="0"/>
                      <w:marBottom w:val="0"/>
                      <w:divBdr>
                        <w:top w:val="none" w:sz="0" w:space="0" w:color="auto"/>
                        <w:left w:val="none" w:sz="0" w:space="0" w:color="auto"/>
                        <w:bottom w:val="none" w:sz="0" w:space="0" w:color="auto"/>
                        <w:right w:val="none" w:sz="0" w:space="0" w:color="auto"/>
                      </w:divBdr>
                      <w:divsChild>
                        <w:div w:id="98751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546053">
          <w:marLeft w:val="0"/>
          <w:marRight w:val="0"/>
          <w:marTop w:val="0"/>
          <w:marBottom w:val="0"/>
          <w:divBdr>
            <w:top w:val="none" w:sz="0" w:space="0" w:color="auto"/>
            <w:left w:val="none" w:sz="0" w:space="0" w:color="auto"/>
            <w:bottom w:val="none" w:sz="0" w:space="0" w:color="auto"/>
            <w:right w:val="none" w:sz="0" w:space="0" w:color="auto"/>
          </w:divBdr>
          <w:divsChild>
            <w:div w:id="51199350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314</Words>
  <Characters>1791</Characters>
  <Application>Microsoft Office Word</Application>
  <DocSecurity>4</DocSecurity>
  <PresentationFormat/>
  <Lines>14</Lines>
  <Paragraphs>4</Paragraphs>
  <Slides>0</Slides>
  <Notes>0</Notes>
  <HiddenSlides>0</HiddenSlides>
  <MMClips>0</MMClips>
  <ScaleCrop>false</ScaleCrop>
  <Manager/>
  <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dingjia</dc:creator>
  <cp:keywords/>
  <dc:description/>
  <cp:lastModifiedBy>ZHONGM</cp:lastModifiedBy>
  <cp:revision>2</cp:revision>
  <dcterms:created xsi:type="dcterms:W3CDTF">2023-11-12T16:00:00Z</dcterms:created>
  <dcterms:modified xsi:type="dcterms:W3CDTF">2023-11-12T16:00:00Z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