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3005">
      <w:pPr>
        <w:pStyle w:val="XBRL2"/>
        <w:spacing w:before="156"/>
      </w:pPr>
      <w:bookmarkStart w:id="0" w:name="_Toc510201001"/>
      <w:bookmarkEnd w:id="0"/>
      <w:r>
        <w:t xml:space="preserve">　</w:t>
      </w:r>
      <w:r>
        <w:t xml:space="preserve"> </w:t>
      </w:r>
    </w:p>
    <w:p w:rsidR="00000000" w:rsidRDefault="00EE3005">
      <w:pPr>
        <w:jc w:val="center"/>
        <w:rPr>
          <w:rFonts w:hint="eastAsia"/>
          <w:color w:val="000000"/>
          <w:kern w:val="0"/>
          <w:sz w:val="18"/>
        </w:rPr>
      </w:pPr>
      <w:r>
        <w:rPr>
          <w:rFonts w:cs="Times New Roman" w:hint="eastAsia"/>
          <w:b/>
          <w:sz w:val="48"/>
          <w:szCs w:val="48"/>
        </w:rPr>
        <w:t>泰信汇享利率债债券型证券投资基金暂停申购、转换转入、定期定额投资业务公告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E300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E3005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公告送出日期：</w:t>
      </w:r>
      <w:r>
        <w:rPr>
          <w:rFonts w:hint="eastAsia"/>
          <w:b/>
          <w:bCs/>
          <w:sz w:val="24"/>
          <w:szCs w:val="30"/>
        </w:rPr>
        <w:t>2023</w:t>
      </w:r>
      <w:r>
        <w:rPr>
          <w:rFonts w:hint="eastAsia"/>
          <w:b/>
          <w:bCs/>
          <w:sz w:val="24"/>
          <w:szCs w:val="30"/>
        </w:rPr>
        <w:t>年</w:t>
      </w:r>
      <w:r>
        <w:rPr>
          <w:rFonts w:hint="eastAsia"/>
          <w:b/>
          <w:bCs/>
          <w:sz w:val="24"/>
          <w:szCs w:val="30"/>
        </w:rPr>
        <w:t>11</w:t>
      </w:r>
      <w:r>
        <w:rPr>
          <w:rFonts w:hint="eastAsia"/>
          <w:b/>
          <w:bCs/>
          <w:sz w:val="24"/>
          <w:szCs w:val="30"/>
        </w:rPr>
        <w:t>月</w:t>
      </w:r>
      <w:r>
        <w:rPr>
          <w:rFonts w:hint="eastAsia"/>
          <w:b/>
          <w:bCs/>
          <w:sz w:val="24"/>
          <w:szCs w:val="30"/>
        </w:rPr>
        <w:t>9</w:t>
      </w:r>
      <w:r>
        <w:rPr>
          <w:rFonts w:hint="eastAsia"/>
          <w:b/>
          <w:bCs/>
          <w:sz w:val="24"/>
          <w:szCs w:val="30"/>
        </w:rPr>
        <w:t>日</w:t>
      </w:r>
    </w:p>
    <w:p w:rsidR="00000000" w:rsidRDefault="00EE3005">
      <w:pPr>
        <w:pStyle w:val="XBRLTitle1"/>
        <w:spacing w:before="156"/>
        <w:ind w:left="425"/>
        <w:jc w:val="left"/>
        <w:rPr>
          <w:rFonts w:hint="eastAsia"/>
          <w:szCs w:val="24"/>
        </w:rPr>
      </w:pP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2187"/>
        <w:gridCol w:w="2600"/>
        <w:gridCol w:w="2338"/>
      </w:tblGrid>
      <w:tr w:rsidR="00000000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泰信汇享利率债债券型证券投资基金</w:t>
            </w:r>
          </w:p>
        </w:tc>
      </w:tr>
      <w:tr w:rsidR="00000000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泰信汇享利率债债券</w:t>
            </w:r>
          </w:p>
        </w:tc>
      </w:tr>
      <w:tr w:rsidR="00000000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013057</w:t>
            </w:r>
          </w:p>
        </w:tc>
      </w:tr>
      <w:tr w:rsidR="00000000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泰信基金管理有限公司</w:t>
            </w:r>
          </w:p>
        </w:tc>
      </w:tr>
      <w:tr w:rsidR="00000000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《公开募集证券投资基金信息披露管理办法》、《泰信汇享利率债债券型证券投资基金基金合同》</w:t>
            </w:r>
          </w:p>
        </w:tc>
      </w:tr>
      <w:tr w:rsidR="00000000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暂停相关业务的起始日及原因说明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3005">
            <w:pPr>
              <w:widowControl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3005">
            <w:pPr>
              <w:widowControl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暂</w:t>
            </w:r>
            <w:r>
              <w:rPr>
                <w:rFonts w:ascii="Calibri" w:hAnsi="Calibri" w:hint="eastAsia"/>
              </w:rPr>
              <w:t>停定期定额投资起始日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3005">
            <w:pPr>
              <w:widowControl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暂停申购、转换转入、定期定额投资的原因说明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为保证本基金的稳定运作，保护基金份额持有人利益。</w:t>
            </w:r>
          </w:p>
        </w:tc>
      </w:tr>
      <w:tr w:rsidR="00000000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60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泰信汇享利率债债券</w:t>
            </w:r>
            <w:r>
              <w:rPr>
                <w:rFonts w:hint="eastAsia"/>
              </w:rPr>
              <w:t>A</w:t>
            </w:r>
          </w:p>
        </w:tc>
        <w:tc>
          <w:tcPr>
            <w:tcW w:w="233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泰信汇享利率债债券</w:t>
            </w:r>
            <w:r>
              <w:rPr>
                <w:rFonts w:hint="eastAsia"/>
              </w:rPr>
              <w:t>C</w:t>
            </w:r>
          </w:p>
        </w:tc>
      </w:tr>
      <w:tr w:rsidR="00000000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60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013057</w:t>
            </w:r>
          </w:p>
        </w:tc>
        <w:tc>
          <w:tcPr>
            <w:tcW w:w="233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013058</w:t>
            </w:r>
          </w:p>
        </w:tc>
      </w:tr>
      <w:tr w:rsidR="00000000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ascii="Calibri" w:hAnsi="Calibri" w:hint="eastAsia"/>
              </w:rPr>
              <w:t>该分级基金是否暂停申购、转换转入、定期定额投资</w:t>
            </w:r>
          </w:p>
        </w:tc>
        <w:tc>
          <w:tcPr>
            <w:tcW w:w="260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3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E3005"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</w:tbl>
    <w:p w:rsidR="00000000" w:rsidRDefault="00EE3005">
      <w:pPr>
        <w:pStyle w:val="XBRLTitle1"/>
        <w:spacing w:before="156" w:line="360" w:lineRule="auto"/>
        <w:ind w:left="425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000000" w:rsidRDefault="00EE3005">
      <w:pPr>
        <w:numPr>
          <w:ilvl w:val="0"/>
          <w:numId w:val="2"/>
        </w:numPr>
        <w:spacing w:line="360" w:lineRule="auto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自</w:t>
      </w:r>
      <w:r>
        <w:rPr>
          <w:rFonts w:hint="eastAsia"/>
          <w:szCs w:val="21"/>
        </w:rPr>
        <w:t>2023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日起，泰信汇享利率债债券型证券投资基金（以下简称“本基金”）暂停申购、定期定额投资及转换转入业务。在本基金暂停申购（含定期定额投资、转换转入）业</w:t>
      </w:r>
      <w:r>
        <w:rPr>
          <w:rFonts w:hint="eastAsia"/>
          <w:szCs w:val="21"/>
        </w:rPr>
        <w:t>务期间，其他业务正常办理。</w:t>
      </w:r>
    </w:p>
    <w:p w:rsidR="00000000" w:rsidRDefault="00EE3005">
      <w:pPr>
        <w:numPr>
          <w:ilvl w:val="0"/>
          <w:numId w:val="2"/>
        </w:num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投资者可登录本公司网站</w:t>
      </w:r>
      <w:r>
        <w:rPr>
          <w:rFonts w:hint="eastAsia"/>
          <w:szCs w:val="21"/>
        </w:rPr>
        <w:t>www.ftfund.com</w:t>
      </w:r>
      <w:r>
        <w:rPr>
          <w:rFonts w:hint="eastAsia"/>
          <w:szCs w:val="21"/>
        </w:rPr>
        <w:t>或拨打客户服务电话</w:t>
      </w:r>
      <w:r>
        <w:rPr>
          <w:rFonts w:hint="eastAsia"/>
          <w:szCs w:val="21"/>
        </w:rPr>
        <w:t>400-888-5988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021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38784566</w:t>
      </w:r>
      <w:r>
        <w:rPr>
          <w:rFonts w:hint="eastAsia"/>
          <w:szCs w:val="21"/>
        </w:rPr>
        <w:t>了解详细情况。本公告的解释权归本基金管理人。</w:t>
      </w:r>
    </w:p>
    <w:p w:rsidR="00000000" w:rsidRDefault="00EE3005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EE3005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EE3005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泰信基金管理有限公司</w:t>
      </w:r>
    </w:p>
    <w:p w:rsidR="00000000" w:rsidRDefault="00EE3005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000000">
      <w:headerReference w:type="default" r:id="rId7"/>
      <w:footerReference w:type="default" r:id="rId8"/>
      <w:pgSz w:w="11907" w:h="16839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E3005">
      <w:r>
        <w:separator/>
      </w:r>
    </w:p>
  </w:endnote>
  <w:endnote w:type="continuationSeparator" w:id="0">
    <w:p w:rsidR="00000000" w:rsidRDefault="00EE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005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sz w:val="18"/>
        <w:szCs w:val="18"/>
        <w:lang w:val="en-US" w:eastAsia="zh-CN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sz w:val="18"/>
        <w:szCs w:val="18"/>
        <w:lang w:val="en-US" w:eastAsia="zh-CN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E3005">
      <w:r>
        <w:separator/>
      </w:r>
    </w:p>
  </w:footnote>
  <w:footnote w:type="continuationSeparator" w:id="0">
    <w:p w:rsidR="00000000" w:rsidRDefault="00EE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005">
    <w:pPr>
      <w:pStyle w:val="af"/>
      <w:jc w:val="right"/>
      <w:rPr>
        <w:rFonts w:hint="eastAsia"/>
      </w:rPr>
    </w:pPr>
    <w:r>
      <w:rPr>
        <w:rFonts w:hint="eastAsia"/>
      </w:rPr>
      <w:t>泰信汇享利率债债券型证券投资基金暂停申购、转换转入、定期定额投资业务公告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148" w:hanging="454"/>
      </w:pPr>
    </w:lvl>
    <w:lvl w:ilvl="2">
      <w:start w:val="1"/>
      <w:numFmt w:val="decimal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269E26E"/>
    <w:multiLevelType w:val="singleLevel"/>
    <w:tmpl w:val="6269E26E"/>
    <w:lvl w:ilvl="0">
      <w:start w:val="1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EF"/>
    <w:rsid w:val="008A54EF"/>
    <w:rsid w:val="008E1287"/>
    <w:rsid w:val="00EE3005"/>
    <w:rsid w:val="14F1597F"/>
    <w:rsid w:val="158516FF"/>
    <w:rsid w:val="278478E6"/>
    <w:rsid w:val="2ACB3B4E"/>
    <w:rsid w:val="380E5CFF"/>
    <w:rsid w:val="63C72EA4"/>
    <w:rsid w:val="79E531EA"/>
    <w:rsid w:val="7EFA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Date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1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unhideWhenUsed/>
    <w:rPr>
      <w:color w:val="800080"/>
      <w:u w:val="single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1">
    <w:name w:val="文档结构图 Char1"/>
    <w:link w:val="a6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a7">
    <w:name w:val="副标题 字符"/>
    <w:link w:val="a8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Char10">
    <w:name w:val="页眉 Char1"/>
    <w:locked/>
    <w:rPr>
      <w:kern w:val="2"/>
      <w:sz w:val="18"/>
      <w:szCs w:val="18"/>
    </w:rPr>
  </w:style>
  <w:style w:type="character" w:customStyle="1" w:styleId="a9">
    <w:name w:val="日期 字符"/>
    <w:link w:val="aa"/>
    <w:locked/>
    <w:rPr>
      <w:kern w:val="2"/>
      <w:sz w:val="21"/>
    </w:rPr>
  </w:style>
  <w:style w:type="character" w:customStyle="1" w:styleId="Char11">
    <w:name w:val="批注框文本 Char1"/>
    <w:link w:val="ab"/>
    <w:uiPriority w:val="99"/>
    <w:semiHidden/>
    <w:locked/>
    <w:rPr>
      <w:kern w:val="2"/>
      <w:sz w:val="18"/>
      <w:szCs w:val="18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ac">
    <w:name w:val="脚注文本 字符"/>
    <w:link w:val="ad"/>
    <w:locked/>
    <w:rPr>
      <w:kern w:val="2"/>
      <w:sz w:val="18"/>
      <w:szCs w:val="18"/>
    </w:rPr>
  </w:style>
  <w:style w:type="character" w:customStyle="1" w:styleId="ae">
    <w:name w:val="页眉 字符"/>
    <w:link w:val="af"/>
    <w:uiPriority w:val="99"/>
    <w:locked/>
    <w:rPr>
      <w:kern w:val="2"/>
      <w:sz w:val="18"/>
      <w:szCs w:val="18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0">
    <w:name w:val="批注框文本 字符"/>
    <w:link w:val="ab"/>
    <w:uiPriority w:val="99"/>
    <w:semiHidden/>
    <w:locked/>
    <w:rPr>
      <w:kern w:val="2"/>
      <w:sz w:val="18"/>
      <w:szCs w:val="18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af1">
    <w:name w:val="页脚 字符"/>
    <w:link w:val="af2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f4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af5">
    <w:name w:val="文档结构图 字符"/>
    <w:link w:val="a6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Char">
    <w:name w:val="脚注文本 Char"/>
    <w:link w:val="ad"/>
    <w:locked/>
    <w:rPr>
      <w:kern w:val="2"/>
      <w:sz w:val="18"/>
      <w:szCs w:val="18"/>
    </w:rPr>
  </w:style>
  <w:style w:type="character" w:customStyle="1" w:styleId="Char0">
    <w:name w:val="页眉 Char"/>
    <w:link w:val="af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f2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f4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8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a"/>
    <w:locked/>
    <w:rPr>
      <w:kern w:val="2"/>
      <w:sz w:val="21"/>
    </w:rPr>
  </w:style>
  <w:style w:type="character" w:customStyle="1" w:styleId="Char6">
    <w:name w:val="文档结构图 Char"/>
    <w:link w:val="a6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b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2">
    <w:name w:val="脚注文本 Char1"/>
    <w:link w:val="ad"/>
    <w:locked/>
    <w:rPr>
      <w:kern w:val="2"/>
      <w:sz w:val="18"/>
      <w:szCs w:val="18"/>
    </w:rPr>
  </w:style>
  <w:style w:type="character" w:customStyle="1" w:styleId="Char20">
    <w:name w:val="页眉 Char2"/>
    <w:link w:val="af"/>
    <w:locked/>
    <w:rPr>
      <w:kern w:val="2"/>
      <w:sz w:val="18"/>
      <w:szCs w:val="18"/>
    </w:rPr>
  </w:style>
  <w:style w:type="character" w:customStyle="1" w:styleId="Char13">
    <w:name w:val="页脚 Char1"/>
    <w:link w:val="af2"/>
    <w:uiPriority w:val="99"/>
    <w:locked/>
    <w:rPr>
      <w:kern w:val="2"/>
      <w:sz w:val="18"/>
      <w:szCs w:val="18"/>
    </w:rPr>
  </w:style>
  <w:style w:type="character" w:customStyle="1" w:styleId="Char14">
    <w:name w:val="标题 Char1"/>
    <w:link w:val="af4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5">
    <w:name w:val="副标题 Char1"/>
    <w:link w:val="a8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6">
    <w:name w:val="日期 Char1"/>
    <w:link w:val="aa"/>
    <w:locked/>
    <w:rPr>
      <w:rFonts w:ascii="宋体" w:eastAsia="宋体" w:hAnsi="宋体" w:hint="eastAsia"/>
      <w:kern w:val="2"/>
      <w:sz w:val="32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1">
    <w:name w:val="页眉 字符1"/>
    <w:locked/>
    <w:rPr>
      <w:kern w:val="2"/>
      <w:sz w:val="18"/>
      <w:szCs w:val="18"/>
    </w:rPr>
  </w:style>
  <w:style w:type="paragraph" w:styleId="a8">
    <w:name w:val="Subtitle"/>
    <w:basedOn w:val="2"/>
    <w:next w:val="3"/>
    <w:link w:val="Char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paragraph" w:styleId="af4">
    <w:name w:val="Title"/>
    <w:basedOn w:val="1"/>
    <w:next w:val="2"/>
    <w:link w:val="Char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Balloon Text"/>
    <w:basedOn w:val="a"/>
    <w:link w:val="Char11"/>
    <w:uiPriority w:val="99"/>
    <w:unhideWhenUsed/>
    <w:rPr>
      <w:sz w:val="18"/>
      <w:szCs w:val="18"/>
    </w:rPr>
  </w:style>
  <w:style w:type="paragraph" w:customStyle="1" w:styleId="XBRLTitle6">
    <w:name w:val="XBRLTitle6"/>
    <w:basedOn w:val="a8"/>
    <w:next w:val="4"/>
    <w:qFormat/>
    <w:pPr>
      <w:numPr>
        <w:ilvl w:val="5"/>
        <w:numId w:val="1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1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paragraph" w:styleId="aa">
    <w:name w:val="Date"/>
    <w:basedOn w:val="a"/>
    <w:next w:val="a"/>
    <w:link w:val="Char16"/>
    <w:rPr>
      <w:sz w:val="32"/>
    </w:rPr>
  </w:style>
  <w:style w:type="paragraph" w:customStyle="1" w:styleId="XBRLTitle5">
    <w:name w:val="XBRLTitle5"/>
    <w:basedOn w:val="a8"/>
    <w:next w:val="4"/>
    <w:qFormat/>
    <w:pPr>
      <w:numPr>
        <w:ilvl w:val="4"/>
        <w:numId w:val="1"/>
      </w:numPr>
      <w:spacing w:beforeLines="50" w:after="0" w:line="240" w:lineRule="auto"/>
      <w:ind w:left="2042"/>
      <w:outlineLvl w:val="9"/>
    </w:pPr>
    <w:rPr>
      <w:bCs/>
    </w:rPr>
  </w:style>
  <w:style w:type="paragraph" w:styleId="ad">
    <w:name w:val="footnote text"/>
    <w:basedOn w:val="a"/>
    <w:link w:val="Char12"/>
    <w:pPr>
      <w:snapToGrid w:val="0"/>
      <w:jc w:val="left"/>
    </w:pPr>
    <w:rPr>
      <w:sz w:val="18"/>
      <w:szCs w:val="18"/>
    </w:rPr>
  </w:style>
  <w:style w:type="paragraph" w:customStyle="1" w:styleId="Char8">
    <w:name w:val="Char"/>
    <w:basedOn w:val="a"/>
  </w:style>
  <w:style w:type="paragraph" w:styleId="af">
    <w:name w:val="header"/>
    <w:basedOn w:val="a"/>
    <w:link w:val="Char2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link w:val="Char1"/>
    <w:pPr>
      <w:shd w:val="clear" w:color="auto" w:fill="000080"/>
    </w:pPr>
  </w:style>
  <w:style w:type="paragraph" w:styleId="31">
    <w:name w:val="toc 3"/>
    <w:basedOn w:val="a"/>
    <w:next w:val="a"/>
    <w:uiPriority w:val="39"/>
    <w:unhideWhenUsed/>
  </w:style>
  <w:style w:type="paragraph" w:styleId="af2">
    <w:name w:val="footer"/>
    <w:basedOn w:val="a"/>
    <w:link w:val="Char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uiPriority w:val="39"/>
    <w:unhideWhenUsed/>
    <w:pPr>
      <w:tabs>
        <w:tab w:val="right" w:leader="dot" w:pos="8835"/>
      </w:tabs>
    </w:pPr>
    <w:rPr>
      <w:lang w:val="en-US" w:eastAsia="zh-CN"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paragraph" w:customStyle="1" w:styleId="XBRL4">
    <w:name w:val="XBRL标题4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af7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Title2">
    <w:name w:val="XBRLTitle2"/>
    <w:basedOn w:val="a8"/>
    <w:next w:val="4"/>
    <w:qFormat/>
    <w:pPr>
      <w:keepNext w:val="0"/>
      <w:keepLines w:val="0"/>
      <w:numPr>
        <w:ilvl w:val="1"/>
        <w:numId w:val="1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2">
    <w:name w:val="XBRL标题2"/>
    <w:basedOn w:val="a8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3">
    <w:name w:val="XBRLTitle3"/>
    <w:basedOn w:val="a8"/>
    <w:next w:val="4"/>
    <w:qFormat/>
    <w:pPr>
      <w:keepNext w:val="0"/>
      <w:keepLines w:val="0"/>
      <w:numPr>
        <w:ilvl w:val="2"/>
        <w:numId w:val="1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5">
    <w:name w:val="XBRL标题5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4">
    <w:name w:val="XBRLTitle4"/>
    <w:basedOn w:val="a8"/>
    <w:next w:val="4"/>
    <w:qFormat/>
    <w:pPr>
      <w:numPr>
        <w:ilvl w:val="3"/>
        <w:numId w:val="1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f8">
    <w:name w:val="Table Grid"/>
    <w:basedOn w:val="a1"/>
    <w:uiPriority w:val="59"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2023-11-08T16:00:00Z</dcterms:created>
  <dcterms:modified xsi:type="dcterms:W3CDTF">2023-11-08T16:00:00Z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