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61" w:rsidRDefault="001C5A1E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关于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新增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东海证券股份有限公司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为部分</w:t>
      </w: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基金流动性服务商的公告</w:t>
      </w:r>
    </w:p>
    <w:p w:rsidR="00E71161" w:rsidRDefault="001C5A1E">
      <w:pPr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/>
          <w:szCs w:val="20"/>
        </w:rPr>
        <w:t xml:space="preserve"> </w:t>
      </w:r>
    </w:p>
    <w:p w:rsidR="00E71161" w:rsidRDefault="001C5A1E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为促进博时中证新能源汽车交易型开放式指数证券投资基金（</w:t>
      </w:r>
      <w:r>
        <w:rPr>
          <w:rFonts w:hint="eastAsia"/>
        </w:rPr>
        <w:t>159824</w:t>
      </w:r>
      <w:r>
        <w:rPr>
          <w:rFonts w:hint="eastAsia"/>
        </w:rPr>
        <w:t>）</w:t>
      </w:r>
      <w:r>
        <w:rPr>
          <w:rFonts w:hint="eastAsia"/>
        </w:rPr>
        <w:t>、</w:t>
      </w:r>
      <w:r>
        <w:rPr>
          <w:rFonts w:hint="eastAsia"/>
        </w:rPr>
        <w:t>博时中证</w:t>
      </w:r>
      <w:r>
        <w:rPr>
          <w:rFonts w:hint="eastAsia"/>
        </w:rPr>
        <w:t>500</w:t>
      </w:r>
      <w:r>
        <w:rPr>
          <w:rFonts w:hint="eastAsia"/>
        </w:rPr>
        <w:t>交易型开放式指数证券投资基金（</w:t>
      </w:r>
      <w:r>
        <w:rPr>
          <w:rFonts w:hint="eastAsia"/>
        </w:rPr>
        <w:t>159968</w:t>
      </w:r>
      <w:r>
        <w:rPr>
          <w:rFonts w:hint="eastAsia"/>
        </w:rPr>
        <w:t>）的市场流动性和平稳运行，根据《深圳证券交易所证券投资基金业务指引第</w:t>
      </w:r>
      <w:r>
        <w:rPr>
          <w:rFonts w:hint="eastAsia"/>
        </w:rPr>
        <w:t>2</w:t>
      </w:r>
      <w:r>
        <w:rPr>
          <w:rFonts w:hint="eastAsia"/>
        </w:rPr>
        <w:t>号——流动性服务》等有关规定，自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日起，本公司新增东海证券股份有限公司为</w:t>
      </w:r>
      <w:r>
        <w:rPr>
          <w:rFonts w:hint="eastAsia"/>
        </w:rPr>
        <w:t>以上基金的</w:t>
      </w:r>
      <w:r>
        <w:rPr>
          <w:rFonts w:hint="eastAsia"/>
        </w:rPr>
        <w:t>流动性服务商。</w:t>
      </w:r>
      <w:r>
        <w:rPr>
          <w:rFonts w:hint="eastAsia"/>
        </w:rPr>
        <w:t> </w:t>
      </w:r>
      <w:bookmarkStart w:id="0" w:name="_GoBack"/>
      <w:bookmarkEnd w:id="0"/>
    </w:p>
    <w:p w:rsidR="00E71161" w:rsidRDefault="001C5A1E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</w:p>
    <w:p w:rsidR="00E71161" w:rsidRDefault="001C5A1E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特此公告。</w:t>
      </w:r>
      <w:r>
        <w:rPr>
          <w:rFonts w:hint="eastAsia"/>
        </w:rPr>
        <w:t> </w:t>
      </w:r>
    </w:p>
    <w:p w:rsidR="00E71161" w:rsidRDefault="001C5A1E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E71161" w:rsidRDefault="001C5A1E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E71161" w:rsidRDefault="001C5A1E">
      <w:pPr>
        <w:spacing w:line="360" w:lineRule="auto"/>
        <w:ind w:firstLine="42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博时基金管理有限公司</w:t>
      </w:r>
    </w:p>
    <w:p w:rsidR="00E71161" w:rsidRDefault="001C5A1E">
      <w:pPr>
        <w:spacing w:line="360" w:lineRule="auto"/>
        <w:ind w:firstLine="420"/>
        <w:jc w:val="right"/>
        <w:rPr>
          <w:rFonts w:ascii="宋体"/>
          <w:color w:val="000000" w:themeColor="text1"/>
          <w:sz w:val="24"/>
          <w:szCs w:val="24"/>
        </w:rPr>
      </w:pPr>
      <w:r>
        <w:rPr>
          <w:rFonts w:ascii="宋体"/>
          <w:color w:val="000000" w:themeColor="text1"/>
          <w:sz w:val="24"/>
          <w:szCs w:val="24"/>
        </w:rPr>
        <w:t>2023</w:t>
      </w:r>
      <w:r>
        <w:rPr>
          <w:rFonts w:ascii="宋体"/>
          <w:color w:val="000000" w:themeColor="text1"/>
          <w:sz w:val="24"/>
          <w:szCs w:val="24"/>
        </w:rPr>
        <w:t>年</w:t>
      </w:r>
      <w:r>
        <w:rPr>
          <w:rFonts w:ascii="宋体" w:hint="eastAsia"/>
          <w:color w:val="000000" w:themeColor="text1"/>
          <w:sz w:val="24"/>
          <w:szCs w:val="24"/>
        </w:rPr>
        <w:t>11</w:t>
      </w:r>
      <w:r>
        <w:rPr>
          <w:rFonts w:ascii="宋体"/>
          <w:color w:val="000000" w:themeColor="text1"/>
          <w:sz w:val="24"/>
          <w:szCs w:val="24"/>
        </w:rPr>
        <w:t>月</w:t>
      </w:r>
      <w:r>
        <w:rPr>
          <w:rFonts w:ascii="宋体"/>
          <w:color w:val="000000" w:themeColor="text1"/>
          <w:sz w:val="24"/>
          <w:szCs w:val="24"/>
        </w:rPr>
        <w:t>2</w:t>
      </w:r>
      <w:r>
        <w:rPr>
          <w:rFonts w:ascii="宋体"/>
          <w:color w:val="000000" w:themeColor="text1"/>
          <w:sz w:val="24"/>
          <w:szCs w:val="24"/>
        </w:rPr>
        <w:t>日</w:t>
      </w:r>
    </w:p>
    <w:p w:rsidR="00E71161" w:rsidRDefault="00E71161">
      <w:pPr>
        <w:spacing w:line="360" w:lineRule="auto"/>
        <w:ind w:firstLine="420"/>
        <w:jc w:val="right"/>
        <w:rPr>
          <w:rFonts w:ascii="宋体"/>
          <w:color w:val="000000" w:themeColor="text1"/>
          <w:sz w:val="24"/>
          <w:szCs w:val="24"/>
        </w:rPr>
      </w:pPr>
    </w:p>
    <w:p w:rsidR="00E71161" w:rsidRDefault="00E71161">
      <w:pPr>
        <w:spacing w:line="360" w:lineRule="auto"/>
        <w:ind w:firstLine="420"/>
        <w:jc w:val="right"/>
        <w:rPr>
          <w:rFonts w:ascii="宋体"/>
          <w:color w:val="000000" w:themeColor="text1"/>
          <w:sz w:val="24"/>
          <w:szCs w:val="24"/>
        </w:rPr>
      </w:pPr>
    </w:p>
    <w:p w:rsidR="00E71161" w:rsidRDefault="00E71161">
      <w:pPr>
        <w:spacing w:line="360" w:lineRule="auto"/>
        <w:ind w:firstLine="420"/>
        <w:jc w:val="right"/>
        <w:rPr>
          <w:rFonts w:ascii="宋体"/>
          <w:color w:val="000000" w:themeColor="text1"/>
          <w:sz w:val="24"/>
          <w:szCs w:val="24"/>
        </w:rPr>
      </w:pPr>
    </w:p>
    <w:p w:rsidR="00E71161" w:rsidRDefault="00E71161">
      <w:pPr>
        <w:spacing w:line="360" w:lineRule="auto"/>
        <w:ind w:firstLine="420"/>
        <w:jc w:val="right"/>
        <w:rPr>
          <w:rFonts w:ascii="宋体"/>
          <w:color w:val="000000" w:themeColor="text1"/>
          <w:sz w:val="24"/>
          <w:szCs w:val="24"/>
        </w:rPr>
      </w:pPr>
    </w:p>
    <w:p w:rsidR="00E71161" w:rsidRDefault="00E71161">
      <w:pPr>
        <w:spacing w:line="360" w:lineRule="auto"/>
        <w:rPr>
          <w:rFonts w:ascii="宋体"/>
          <w:color w:val="000000" w:themeColor="text1"/>
          <w:sz w:val="24"/>
          <w:szCs w:val="24"/>
        </w:rPr>
      </w:pPr>
    </w:p>
    <w:sectPr w:rsidR="00E71161" w:rsidSect="00E7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E5261"/>
    <w:rsid w:val="000045D1"/>
    <w:rsid w:val="00092C75"/>
    <w:rsid w:val="000B19D3"/>
    <w:rsid w:val="001349CD"/>
    <w:rsid w:val="00182AE4"/>
    <w:rsid w:val="00186B81"/>
    <w:rsid w:val="001C5A1E"/>
    <w:rsid w:val="0030042E"/>
    <w:rsid w:val="00334A76"/>
    <w:rsid w:val="004E2DEA"/>
    <w:rsid w:val="0054440F"/>
    <w:rsid w:val="005C6C5C"/>
    <w:rsid w:val="007B2188"/>
    <w:rsid w:val="00816D5C"/>
    <w:rsid w:val="00855A50"/>
    <w:rsid w:val="008D0F9B"/>
    <w:rsid w:val="008E39A2"/>
    <w:rsid w:val="009D1DE7"/>
    <w:rsid w:val="00A02E52"/>
    <w:rsid w:val="00B50B2B"/>
    <w:rsid w:val="00BF57DE"/>
    <w:rsid w:val="00DF750F"/>
    <w:rsid w:val="00E71161"/>
    <w:rsid w:val="00F8460C"/>
    <w:rsid w:val="00FB06A4"/>
    <w:rsid w:val="00FB450C"/>
    <w:rsid w:val="00FC2A28"/>
    <w:rsid w:val="00FE0443"/>
    <w:rsid w:val="00FE5261"/>
    <w:rsid w:val="070167D1"/>
    <w:rsid w:val="0A16066B"/>
    <w:rsid w:val="329F1FE4"/>
    <w:rsid w:val="37731A65"/>
    <w:rsid w:val="4D3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7116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711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71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71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E711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E71161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E7116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E7116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7116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71161"/>
  </w:style>
  <w:style w:type="character" w:customStyle="1" w:styleId="Char3">
    <w:name w:val="批注主题 Char"/>
    <w:basedOn w:val="Char"/>
    <w:link w:val="a8"/>
    <w:uiPriority w:val="99"/>
    <w:semiHidden/>
    <w:qFormat/>
    <w:rsid w:val="00E71161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11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4</DocSecurity>
  <Lines>1</Lines>
  <Paragraphs>1</Paragraphs>
  <ScaleCrop>false</ScaleCrop>
  <Company>CNSTOCK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2023-11-01T16:02:00Z</dcterms:created>
  <dcterms:modified xsi:type="dcterms:W3CDTF">2023-11-01T16:02:00Z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ACCB538617C64781B4D4B0E0B894F98F</vt:lpwstr>
  </property>
</Properties>
</file>