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7D5785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诺禾致源 (688315)</w:t>
      </w: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北京诺禾致源科技股份有限公司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诺禾致源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688315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北京诺禾致源科技股份有限公司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诺禾致源:向特定对象发行股票发行结果暨股本变动公告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62"/>
        <w:gridCol w:w="1582"/>
        <w:gridCol w:w="1016"/>
        <w:gridCol w:w="1693"/>
        <w:gridCol w:w="1021"/>
        <w:gridCol w:w="704"/>
      </w:tblGrid>
      <w:tr w:rsidR="00AC567E" w:rsidRPr="003558AD" w:rsidTr="00C23543">
        <w:trPr>
          <w:trHeight w:val="20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448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基金名称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ind w:left="160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认购数量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39"/>
              <w:ind w:left="263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（股）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88" w:right="77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总成本（元）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2"/>
              <w:rPr>
                <w:rFonts w:hAnsi="宋体" w:hint="default"/>
                <w:sz w:val="15"/>
                <w:szCs w:val="15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364" w:lineRule="auto"/>
              <w:ind w:left="191" w:right="179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总成本占基金资产净值比例（%）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账面价值占基金资产净值比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268" w:lineRule="exact"/>
              <w:ind w:left="5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例（%）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241" w:right="131" w:hanging="104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锁定期</w:t>
            </w:r>
          </w:p>
        </w:tc>
      </w:tr>
      <w:tr w:rsidR="007938DC">
        <w:tc>
          <w:tcPr>
            <w:tcW w:w="1740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中欧医疗健康混合型证券投资基金</w:t>
            </w:r>
          </w:p>
        </w:tc>
        <w:tc>
          <w:tcPr>
            <w:tcW w:w="1162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1,521,872</w:t>
            </w:r>
          </w:p>
        </w:tc>
        <w:tc>
          <w:tcPr>
            <w:tcW w:w="1582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31,594,062.72</w:t>
            </w:r>
          </w:p>
        </w:tc>
        <w:tc>
          <w:tcPr>
            <w:tcW w:w="1016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0.0639</w:t>
            </w:r>
          </w:p>
        </w:tc>
        <w:tc>
          <w:tcPr>
            <w:tcW w:w="1693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31,670,156.32</w:t>
            </w:r>
          </w:p>
        </w:tc>
        <w:tc>
          <w:tcPr>
            <w:tcW w:w="1021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0.0641</w:t>
            </w:r>
          </w:p>
        </w:tc>
        <w:tc>
          <w:tcPr>
            <w:tcW w:w="704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  <w:tr w:rsidR="007938DC">
        <w:tc>
          <w:tcPr>
            <w:tcW w:w="1740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中欧医疗创新股票型证券投资基金</w:t>
            </w:r>
          </w:p>
        </w:tc>
        <w:tc>
          <w:tcPr>
            <w:tcW w:w="1162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366,716</w:t>
            </w:r>
          </w:p>
        </w:tc>
        <w:tc>
          <w:tcPr>
            <w:tcW w:w="1582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7,613,024.16</w:t>
            </w:r>
          </w:p>
        </w:tc>
        <w:tc>
          <w:tcPr>
            <w:tcW w:w="1016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0.0680</w:t>
            </w:r>
          </w:p>
        </w:tc>
        <w:tc>
          <w:tcPr>
            <w:tcW w:w="1693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7,631,359.96</w:t>
            </w:r>
          </w:p>
        </w:tc>
        <w:tc>
          <w:tcPr>
            <w:tcW w:w="1021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0.0681</w:t>
            </w:r>
          </w:p>
        </w:tc>
        <w:tc>
          <w:tcPr>
            <w:tcW w:w="704" w:type="dxa"/>
          </w:tcPr>
          <w:p w:rsidR="007938DC" w:rsidRDefault="009E5C19">
            <w:pPr>
              <w:jc w:val="left"/>
            </w:pPr>
            <w:r w:rsidRPr="003558AD">
              <w:rPr>
                <w:rFonts w:ascii="宋体" w:eastAsia="宋体" w:hAnsi="宋体" w:cs="宋体"/>
                <w:szCs w:val="21"/>
              </w:rPr>
              <w:t>6个月</w:t>
            </w:r>
          </w:p>
        </w:tc>
      </w:tr>
    </w:tbl>
    <w:p w:rsidR="007D5785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int="default"/>
          <w:spacing w:val="-12"/>
          <w:sz w:val="21"/>
          <w:szCs w:val="21"/>
        </w:rPr>
      </w:pPr>
      <w:r>
        <w:rPr>
          <w:spacing w:val="-7"/>
          <w:sz w:val="21"/>
          <w:szCs w:val="21"/>
        </w:rPr>
        <w:t>注：基金资产净值、账面价值为</w:t>
      </w:r>
      <w:r>
        <w:rPr>
          <w:rFonts w:hint="default"/>
          <w:noProof/>
          <w:sz w:val="21"/>
          <w:szCs w:val="21"/>
        </w:rPr>
        <w:t>2023年10月27日</w:t>
      </w:r>
      <w:r w:rsidRPr="00F845BC">
        <w:rPr>
          <w:spacing w:val="-12"/>
          <w:sz w:val="21"/>
          <w:szCs w:val="21"/>
        </w:rPr>
        <w:t>数据。</w:t>
      </w:r>
    </w:p>
    <w:p w:rsidR="007D5785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特此公告。</w:t>
      </w:r>
    </w:p>
    <w:p w:rsidR="007D5785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中欧基金管理有限公司</w:t>
      </w:r>
    </w:p>
    <w:p w:rsidR="007D5785" w:rsidRP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2023年10月</w:t>
      </w:r>
      <w:r w:rsidR="00135386">
        <w:rPr>
          <w:rFonts w:ascii="宋体" w:eastAsia="宋体" w:hAnsi="宋体"/>
        </w:rPr>
        <w:t>31</w:t>
      </w:r>
      <w:r>
        <w:rPr>
          <w:rFonts w:ascii="宋体" w:eastAsia="宋体" w:hAnsi="宋体"/>
        </w:rPr>
        <w:t>日</w:t>
      </w:r>
    </w:p>
    <w:sectPr w:rsidR="007D5785" w:rsidRPr="007D5785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19" w:rsidRDefault="009E5C19" w:rsidP="009E5C19">
      <w:r>
        <w:separator/>
      </w:r>
    </w:p>
  </w:endnote>
  <w:endnote w:type="continuationSeparator" w:id="0">
    <w:p w:rsidR="009E5C19" w:rsidRDefault="009E5C19" w:rsidP="009E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19" w:rsidRDefault="009E5C19" w:rsidP="009E5C19">
      <w:r>
        <w:separator/>
      </w:r>
    </w:p>
  </w:footnote>
  <w:footnote w:type="continuationSeparator" w:id="0">
    <w:p w:rsidR="009E5C19" w:rsidRDefault="009E5C19" w:rsidP="009E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85"/>
    <w:rsid w:val="000A66BA"/>
    <w:rsid w:val="00135386"/>
    <w:rsid w:val="002E6098"/>
    <w:rsid w:val="003558AD"/>
    <w:rsid w:val="00390C70"/>
    <w:rsid w:val="00473FEC"/>
    <w:rsid w:val="007938DC"/>
    <w:rsid w:val="007D5785"/>
    <w:rsid w:val="00880273"/>
    <w:rsid w:val="008B1477"/>
    <w:rsid w:val="0095530C"/>
    <w:rsid w:val="009E5C19"/>
    <w:rsid w:val="00AC567E"/>
    <w:rsid w:val="00C85DEC"/>
    <w:rsid w:val="00DD7C3B"/>
    <w:rsid w:val="00E0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paragraph" w:customStyle="1" w:styleId="a5">
    <w:rsid w:val="008B1477"/>
    <w:rPr>
      <w:rFonts w:ascii="宋体"/>
    </w:rPr>
  </w:style>
  <w:style w:type="paragraph" w:styleId="a6">
    <w:name w:val="Balloon Text"/>
    <w:basedOn w:val="a"/>
    <w:link w:val="Char0"/>
    <w:uiPriority w:val="99"/>
    <w:semiHidden/>
    <w:unhideWhenUsed/>
    <w:rsid w:val="0013538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386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E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E5C19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E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E5C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2023-10-30T16:02:00Z</dcterms:created>
  <dcterms:modified xsi:type="dcterms:W3CDTF">2023-10-30T16:02:00Z</dcterms:modified>
</cp:coreProperties>
</file>