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310C" w:rsidRDefault="00EC310C">
      <w:pPr>
        <w:pStyle w:val="1"/>
        <w:spacing w:before="0" w:after="0" w:line="560" w:lineRule="exact"/>
        <w:jc w:val="center"/>
        <w:rPr>
          <w:rFonts w:ascii="黑体" w:eastAsia="黑体" w:hAnsi="黑体" w:hint="eastAsia"/>
          <w:b w:val="0"/>
          <w:color w:val="000000"/>
          <w:sz w:val="32"/>
          <w:szCs w:val="32"/>
        </w:rPr>
      </w:pPr>
      <w:bookmarkStart w:id="0" w:name="_Toc275961404"/>
    </w:p>
    <w:p w:rsidR="00C06DE1" w:rsidRPr="00381A3F" w:rsidRDefault="00A43F14">
      <w:pPr>
        <w:pStyle w:val="1"/>
        <w:spacing w:before="0" w:after="0" w:line="560" w:lineRule="exact"/>
        <w:jc w:val="center"/>
        <w:rPr>
          <w:rFonts w:ascii="黑体" w:eastAsia="黑体" w:hAnsi="黑体"/>
          <w:b w:val="0"/>
          <w:color w:val="000000"/>
          <w:sz w:val="32"/>
          <w:szCs w:val="32"/>
        </w:rPr>
      </w:pPr>
      <w:r w:rsidRPr="00A43F14">
        <w:rPr>
          <w:rFonts w:ascii="黑体" w:eastAsia="黑体" w:hAnsi="黑体" w:hint="eastAsia"/>
          <w:b w:val="0"/>
          <w:color w:val="000000"/>
          <w:sz w:val="32"/>
          <w:szCs w:val="32"/>
        </w:rPr>
        <w:t>国投瑞银策略精选灵活配置混合型证券投资基金</w:t>
      </w:r>
      <w:r w:rsidR="00AC4906" w:rsidRPr="00381A3F">
        <w:rPr>
          <w:rFonts w:ascii="黑体" w:eastAsia="黑体" w:hAnsi="黑体"/>
          <w:b w:val="0"/>
          <w:color w:val="000000"/>
          <w:sz w:val="32"/>
          <w:szCs w:val="32"/>
        </w:rPr>
        <w:t>暂停</w:t>
      </w:r>
      <w:r w:rsidR="002E2F50">
        <w:rPr>
          <w:rFonts w:ascii="黑体" w:eastAsia="黑体" w:hAnsi="黑体" w:hint="eastAsia"/>
          <w:b w:val="0"/>
          <w:color w:val="000000"/>
          <w:sz w:val="32"/>
          <w:szCs w:val="32"/>
        </w:rPr>
        <w:t>及</w:t>
      </w:r>
      <w:r w:rsidR="00D43567">
        <w:rPr>
          <w:rFonts w:ascii="黑体" w:eastAsia="黑体" w:hAnsi="黑体" w:hint="eastAsia"/>
          <w:b w:val="0"/>
          <w:color w:val="000000"/>
          <w:sz w:val="32"/>
          <w:szCs w:val="32"/>
        </w:rPr>
        <w:t>恢复</w:t>
      </w:r>
      <w:r w:rsidR="005B6188" w:rsidRPr="00381A3F">
        <w:rPr>
          <w:rFonts w:ascii="黑体" w:eastAsia="黑体" w:hAnsi="黑体" w:hint="eastAsia"/>
          <w:b w:val="0"/>
          <w:color w:val="000000"/>
          <w:sz w:val="32"/>
          <w:szCs w:val="32"/>
        </w:rPr>
        <w:t>大额</w:t>
      </w:r>
      <w:r w:rsidR="00C06DE1" w:rsidRPr="00381A3F">
        <w:rPr>
          <w:rFonts w:ascii="黑体" w:eastAsia="黑体" w:hAnsi="黑体"/>
          <w:b w:val="0"/>
          <w:color w:val="000000"/>
          <w:sz w:val="32"/>
          <w:szCs w:val="32"/>
        </w:rPr>
        <w:t>申购（转换转入</w:t>
      </w:r>
      <w:r w:rsidR="007938D0" w:rsidRPr="00381A3F">
        <w:rPr>
          <w:rFonts w:ascii="黑体" w:eastAsia="黑体" w:hAnsi="黑体" w:hint="eastAsia"/>
          <w:b w:val="0"/>
          <w:color w:val="000000"/>
          <w:sz w:val="32"/>
          <w:szCs w:val="32"/>
        </w:rPr>
        <w:t>、</w:t>
      </w:r>
      <w:r w:rsidR="00C06DE1" w:rsidRPr="00381A3F">
        <w:rPr>
          <w:rFonts w:ascii="黑体" w:eastAsia="黑体" w:hAnsi="黑体"/>
          <w:b w:val="0"/>
          <w:color w:val="000000"/>
          <w:sz w:val="32"/>
          <w:szCs w:val="32"/>
        </w:rPr>
        <w:t>定期定额投资）公告</w:t>
      </w:r>
      <w:bookmarkEnd w:id="0"/>
    </w:p>
    <w:p w:rsidR="00C06DE1" w:rsidRPr="00D417E0" w:rsidRDefault="00C06DE1" w:rsidP="00102002">
      <w:pPr>
        <w:spacing w:line="240" w:lineRule="auto"/>
        <w:rPr>
          <w:color w:val="000000"/>
        </w:rPr>
      </w:pPr>
    </w:p>
    <w:p w:rsidR="00C06DE1" w:rsidRPr="00AF6169" w:rsidRDefault="00C06DE1" w:rsidP="00102002">
      <w:pPr>
        <w:spacing w:line="240" w:lineRule="auto"/>
        <w:jc w:val="center"/>
        <w:rPr>
          <w:rFonts w:ascii="宋体" w:eastAsia="宋体" w:hAnsi="宋体"/>
          <w:color w:val="000000"/>
          <w:sz w:val="24"/>
          <w:szCs w:val="24"/>
        </w:rPr>
      </w:pPr>
      <w:r w:rsidRPr="00AF6169">
        <w:rPr>
          <w:rFonts w:ascii="宋体" w:eastAsia="宋体" w:hAnsi="宋体"/>
          <w:color w:val="000000"/>
          <w:sz w:val="24"/>
          <w:szCs w:val="24"/>
        </w:rPr>
        <w:t>公告送出日期：</w:t>
      </w:r>
      <w:r w:rsidR="00391AA8" w:rsidRPr="00391AA8">
        <w:rPr>
          <w:rFonts w:ascii="宋体" w:eastAsia="宋体" w:hAnsi="宋体" w:hint="eastAsia"/>
          <w:color w:val="000000"/>
          <w:sz w:val="24"/>
          <w:szCs w:val="24"/>
        </w:rPr>
        <w:t>2023年10月31日</w:t>
      </w:r>
      <w:r w:rsidRPr="00AF6169">
        <w:rPr>
          <w:rFonts w:ascii="宋体" w:eastAsia="宋体" w:hAnsi="宋体"/>
          <w:color w:val="000000"/>
          <w:sz w:val="24"/>
          <w:szCs w:val="24"/>
        </w:rPr>
        <w:t xml:space="preserve"> </w:t>
      </w:r>
    </w:p>
    <w:p w:rsidR="00C06DE1" w:rsidRPr="00467383" w:rsidRDefault="00C06DE1" w:rsidP="00102002">
      <w:pPr>
        <w:spacing w:line="240" w:lineRule="auto"/>
        <w:rPr>
          <w:rFonts w:ascii="宋体" w:eastAsia="宋体" w:hAnsi="宋体"/>
          <w:color w:val="000000"/>
          <w:sz w:val="24"/>
          <w:szCs w:val="24"/>
        </w:rPr>
      </w:pPr>
    </w:p>
    <w:p w:rsidR="00C06DE1" w:rsidRPr="00AF6169" w:rsidRDefault="00C06DE1" w:rsidP="00381A3F">
      <w:pPr>
        <w:pStyle w:val="2"/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bookmarkStart w:id="1" w:name="_Toc275961405"/>
      <w:r w:rsidRPr="00AF6169">
        <w:rPr>
          <w:rFonts w:ascii="宋体" w:eastAsia="宋体" w:hAnsi="宋体"/>
          <w:color w:val="000000"/>
          <w:sz w:val="24"/>
          <w:szCs w:val="24"/>
        </w:rPr>
        <w:t>1 公告基本信息</w:t>
      </w:r>
      <w:bookmarkEnd w:id="1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3828"/>
        <w:gridCol w:w="3390"/>
      </w:tblGrid>
      <w:tr w:rsidR="00D417E0" w:rsidRPr="00AF6169" w:rsidTr="00F8751A">
        <w:trPr>
          <w:trHeight w:val="397"/>
          <w:jc w:val="center"/>
        </w:trPr>
        <w:tc>
          <w:tcPr>
            <w:tcW w:w="5718" w:type="dxa"/>
            <w:gridSpan w:val="2"/>
            <w:vAlign w:val="center"/>
          </w:tcPr>
          <w:p w:rsidR="00D417E0" w:rsidRPr="00AF6169" w:rsidRDefault="00D417E0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  <w:highlight w:val="cyan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3390" w:type="dxa"/>
            <w:vAlign w:val="center"/>
          </w:tcPr>
          <w:p w:rsidR="00D417E0" w:rsidRPr="000E5D8B" w:rsidRDefault="00247A8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  <w:highlight w:val="magenta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国投瑞银策略精选灵活配置混合型证券投资基金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5718" w:type="dxa"/>
            <w:gridSpan w:val="2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3390" w:type="dxa"/>
            <w:vAlign w:val="center"/>
          </w:tcPr>
          <w:p w:rsidR="00F21005" w:rsidRPr="000E5D8B" w:rsidRDefault="00247A8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  <w:highlight w:val="magenta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国投瑞银策略精选混合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5718" w:type="dxa"/>
            <w:gridSpan w:val="2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3390" w:type="dxa"/>
            <w:vAlign w:val="center"/>
          </w:tcPr>
          <w:p w:rsidR="00F21005" w:rsidRPr="000E5D8B" w:rsidRDefault="00247A85" w:rsidP="008D2D8C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  <w:highlight w:val="magenta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000165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5718" w:type="dxa"/>
            <w:gridSpan w:val="2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3390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国投瑞银基金管理有限公司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5718" w:type="dxa"/>
            <w:gridSpan w:val="2"/>
            <w:vAlign w:val="center"/>
          </w:tcPr>
          <w:p w:rsidR="00F21005" w:rsidRPr="00AF6169" w:rsidRDefault="00F21005" w:rsidP="009D3E3D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3390" w:type="dxa"/>
            <w:vAlign w:val="center"/>
          </w:tcPr>
          <w:p w:rsidR="00F21005" w:rsidRPr="00AF6169" w:rsidRDefault="009D3E3D" w:rsidP="00467383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6738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《公开募集证券投资基金信息披露管理办法》及本基金的基金合同和招募说明书等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1890" w:type="dxa"/>
            <w:vMerge w:val="restart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B9732B">
              <w:rPr>
                <w:rFonts w:ascii="宋体" w:eastAsia="宋体" w:hAnsi="宋体"/>
                <w:color w:val="000000"/>
                <w:sz w:val="21"/>
                <w:szCs w:val="21"/>
              </w:rPr>
              <w:t>暂停相关业务的起始日、金额及原因说明</w:t>
            </w: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暂停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申购起始日</w:t>
            </w:r>
          </w:p>
        </w:tc>
        <w:tc>
          <w:tcPr>
            <w:tcW w:w="3390" w:type="dxa"/>
            <w:vAlign w:val="center"/>
          </w:tcPr>
          <w:p w:rsidR="00F21005" w:rsidRPr="000E5D8B" w:rsidRDefault="00247A85" w:rsidP="007D436A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2023年11月1日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暂停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转换转入起始日</w:t>
            </w:r>
          </w:p>
        </w:tc>
        <w:tc>
          <w:tcPr>
            <w:tcW w:w="3390" w:type="dxa"/>
            <w:vAlign w:val="center"/>
          </w:tcPr>
          <w:p w:rsidR="00F21005" w:rsidRPr="000E5D8B" w:rsidRDefault="00247A85" w:rsidP="00DB607B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2023年11月1日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暂停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定期定额投资起始日</w:t>
            </w:r>
          </w:p>
        </w:tc>
        <w:tc>
          <w:tcPr>
            <w:tcW w:w="3390" w:type="dxa"/>
            <w:vAlign w:val="center"/>
          </w:tcPr>
          <w:p w:rsidR="00F21005" w:rsidRPr="000E5D8B" w:rsidRDefault="00247A85" w:rsidP="00DB607B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2023年11月1日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B1343D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限制申购金额（单位：</w:t>
            </w:r>
            <w:r w:rsidR="002E7C28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</w:t>
            </w:r>
            <w:r w:rsidR="00F21005"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元）</w:t>
            </w:r>
          </w:p>
        </w:tc>
        <w:tc>
          <w:tcPr>
            <w:tcW w:w="3390" w:type="dxa"/>
            <w:vAlign w:val="center"/>
          </w:tcPr>
          <w:p w:rsidR="00F21005" w:rsidRPr="000E5D8B" w:rsidRDefault="00247A85" w:rsidP="00FB4DE4">
            <w:pPr>
              <w:spacing w:line="240" w:lineRule="auto"/>
              <w:jc w:val="both"/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B1343D" w:rsidP="00FB4DE4">
            <w:pPr>
              <w:spacing w:line="240" w:lineRule="auto"/>
              <w:jc w:val="both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限制转换入金额（单位：</w:t>
            </w:r>
            <w:r w:rsidR="002E7C28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</w:t>
            </w:r>
            <w:r w:rsidR="00F21005"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元）</w:t>
            </w:r>
          </w:p>
        </w:tc>
        <w:tc>
          <w:tcPr>
            <w:tcW w:w="3390" w:type="dxa"/>
            <w:vAlign w:val="center"/>
          </w:tcPr>
          <w:p w:rsidR="00F21005" w:rsidRPr="000E5D8B" w:rsidRDefault="00247A85" w:rsidP="00FB4DE4">
            <w:pPr>
              <w:spacing w:line="240" w:lineRule="auto"/>
              <w:jc w:val="both"/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限制定期定额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投资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金额（单位：万元）</w:t>
            </w:r>
          </w:p>
        </w:tc>
        <w:tc>
          <w:tcPr>
            <w:tcW w:w="3390" w:type="dxa"/>
            <w:vAlign w:val="center"/>
          </w:tcPr>
          <w:p w:rsidR="00F21005" w:rsidRPr="000E5D8B" w:rsidRDefault="00247A85" w:rsidP="00FB4DE4">
            <w:pPr>
              <w:spacing w:line="240" w:lineRule="auto"/>
              <w:jc w:val="both"/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暂停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申购（转换转入、定期定额投资）的原因说明</w:t>
            </w:r>
          </w:p>
        </w:tc>
        <w:tc>
          <w:tcPr>
            <w:tcW w:w="3390" w:type="dxa"/>
            <w:vAlign w:val="center"/>
          </w:tcPr>
          <w:p w:rsidR="00F21005" w:rsidRPr="00AF6169" w:rsidRDefault="00F21005" w:rsidP="00074CCD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为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保护</w:t>
            </w:r>
            <w:r w:rsidRPr="00AF6169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基金份额持有人利益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1890" w:type="dxa"/>
            <w:vMerge w:val="restart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94D95">
              <w:rPr>
                <w:rFonts w:ascii="宋体" w:eastAsia="宋体" w:hAnsi="宋体"/>
                <w:color w:val="000000"/>
                <w:sz w:val="21"/>
                <w:szCs w:val="21"/>
              </w:rPr>
              <w:t>恢复相关业务的日期及原因说明</w:t>
            </w: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申购起始日</w:t>
            </w:r>
          </w:p>
        </w:tc>
        <w:tc>
          <w:tcPr>
            <w:tcW w:w="3390" w:type="dxa"/>
            <w:vAlign w:val="center"/>
          </w:tcPr>
          <w:p w:rsidR="00F21005" w:rsidRPr="000E5D8B" w:rsidRDefault="00247A85" w:rsidP="00B74AB0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2023年11月24日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转换转入起始日</w:t>
            </w:r>
          </w:p>
        </w:tc>
        <w:tc>
          <w:tcPr>
            <w:tcW w:w="3390" w:type="dxa"/>
            <w:vAlign w:val="center"/>
          </w:tcPr>
          <w:p w:rsidR="00F21005" w:rsidRPr="000E5D8B" w:rsidRDefault="00247A85" w:rsidP="00B74AB0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2023年11月24日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定期定额投资起始日</w:t>
            </w:r>
          </w:p>
        </w:tc>
        <w:tc>
          <w:tcPr>
            <w:tcW w:w="3390" w:type="dxa"/>
            <w:vAlign w:val="center"/>
          </w:tcPr>
          <w:p w:rsidR="00F21005" w:rsidRPr="000E5D8B" w:rsidRDefault="00247A85" w:rsidP="00B74AB0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2023年11月24日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</w:t>
            </w:r>
            <w:r w:rsidRPr="00D4356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D43567">
              <w:rPr>
                <w:rFonts w:ascii="宋体" w:eastAsia="宋体" w:hAnsi="宋体"/>
                <w:color w:val="000000"/>
                <w:sz w:val="21"/>
                <w:szCs w:val="21"/>
              </w:rPr>
              <w:t>申购（转换转入、定期定额投资）的原因说明</w:t>
            </w:r>
          </w:p>
        </w:tc>
        <w:tc>
          <w:tcPr>
            <w:tcW w:w="3390" w:type="dxa"/>
            <w:vAlign w:val="center"/>
          </w:tcPr>
          <w:p w:rsidR="00F21005" w:rsidRPr="00AF6169" w:rsidRDefault="00F21005" w:rsidP="00074CCD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E740B9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为</w:t>
            </w:r>
            <w:r w:rsidRPr="00E740B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保护</w:t>
            </w:r>
            <w:r w:rsidRPr="00E740B9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基金份额持有人利益</w:t>
            </w:r>
          </w:p>
        </w:tc>
      </w:tr>
    </w:tbl>
    <w:p w:rsidR="00C06DE1" w:rsidRPr="00AF6169" w:rsidRDefault="00C06DE1" w:rsidP="00CA66A1">
      <w:pPr>
        <w:pStyle w:val="2"/>
        <w:adjustRightInd w:val="0"/>
        <w:snapToGrid w:val="0"/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bookmarkStart w:id="2" w:name="_Toc275961406"/>
      <w:r w:rsidRPr="00AF6169">
        <w:rPr>
          <w:rFonts w:ascii="宋体" w:eastAsia="宋体" w:hAnsi="宋体"/>
          <w:color w:val="000000"/>
          <w:sz w:val="24"/>
          <w:szCs w:val="24"/>
        </w:rPr>
        <w:lastRenderedPageBreak/>
        <w:t>2 其他需要提示的事项</w:t>
      </w:r>
      <w:bookmarkEnd w:id="2"/>
    </w:p>
    <w:p w:rsidR="00B91B2A" w:rsidRDefault="00C15BD2" w:rsidP="00B91B2A">
      <w:pPr>
        <w:adjustRightInd w:val="0"/>
        <w:snapToGrid w:val="0"/>
        <w:rPr>
          <w:rFonts w:ascii="宋体" w:eastAsia="宋体" w:hAnsi="宋体" w:hint="eastAsia"/>
          <w:color w:val="000000"/>
          <w:sz w:val="24"/>
          <w:szCs w:val="24"/>
        </w:rPr>
      </w:pPr>
      <w:r w:rsidRPr="00AF6169">
        <w:rPr>
          <w:rFonts w:ascii="宋体" w:eastAsia="宋体" w:hAnsi="宋体"/>
          <w:color w:val="000000"/>
          <w:sz w:val="24"/>
          <w:szCs w:val="24"/>
        </w:rPr>
        <w:t>（1）</w:t>
      </w:r>
      <w:r w:rsidR="006C57E0" w:rsidRPr="00AF6169">
        <w:rPr>
          <w:rFonts w:ascii="宋体" w:eastAsia="宋体" w:hAnsi="宋体" w:hint="eastAsia"/>
          <w:color w:val="000000"/>
          <w:sz w:val="24"/>
          <w:szCs w:val="24"/>
        </w:rPr>
        <w:t>本基金</w:t>
      </w:r>
      <w:r w:rsidR="00E02BE3" w:rsidRPr="00AF6169">
        <w:rPr>
          <w:rFonts w:ascii="宋体" w:eastAsia="宋体" w:hAnsi="宋体" w:hint="eastAsia"/>
          <w:color w:val="000000"/>
          <w:sz w:val="24"/>
          <w:szCs w:val="24"/>
        </w:rPr>
        <w:t>于</w:t>
      </w:r>
      <w:r w:rsidR="00247A85" w:rsidRPr="00F81162">
        <w:rPr>
          <w:rFonts w:ascii="宋体" w:eastAsia="宋体" w:hAnsi="宋体" w:hint="eastAsia"/>
          <w:color w:val="000000"/>
          <w:sz w:val="24"/>
          <w:szCs w:val="24"/>
        </w:rPr>
        <w:t>2023年11月1日至11月23日</w:t>
      </w:r>
      <w:r w:rsidR="00AB1B3A" w:rsidRPr="00AF6169">
        <w:rPr>
          <w:rFonts w:ascii="宋体" w:eastAsia="宋体" w:hAnsi="宋体" w:hint="eastAsia"/>
          <w:color w:val="000000"/>
          <w:sz w:val="24"/>
          <w:szCs w:val="24"/>
        </w:rPr>
        <w:t>暂停大额申购</w:t>
      </w:r>
      <w:r w:rsidR="00A24DFD" w:rsidRPr="00AF6169">
        <w:rPr>
          <w:rFonts w:ascii="宋体" w:eastAsia="宋体" w:hAnsi="宋体" w:hint="eastAsia"/>
          <w:color w:val="000000"/>
          <w:sz w:val="24"/>
          <w:szCs w:val="24"/>
        </w:rPr>
        <w:t>（转换转入、定期定额投资）</w:t>
      </w:r>
      <w:r w:rsidR="00AB1B3A" w:rsidRPr="00AF6169">
        <w:rPr>
          <w:rFonts w:ascii="宋体" w:eastAsia="宋体" w:hAnsi="宋体" w:hint="eastAsia"/>
          <w:color w:val="000000"/>
          <w:sz w:val="24"/>
          <w:szCs w:val="24"/>
        </w:rPr>
        <w:t>期间</w:t>
      </w:r>
      <w:r w:rsidR="009415EB">
        <w:rPr>
          <w:rFonts w:ascii="宋体" w:eastAsia="宋体" w:hAnsi="宋体" w:hint="eastAsia"/>
          <w:color w:val="000000"/>
          <w:sz w:val="24"/>
          <w:szCs w:val="24"/>
        </w:rPr>
        <w:t>，</w:t>
      </w:r>
      <w:r w:rsidR="005D4C04" w:rsidRPr="00AF6169">
        <w:rPr>
          <w:rFonts w:ascii="宋体" w:eastAsia="宋体" w:hAnsi="宋体" w:hint="eastAsia"/>
          <w:color w:val="000000"/>
          <w:sz w:val="24"/>
          <w:szCs w:val="24"/>
        </w:rPr>
        <w:t>单个</w:t>
      </w:r>
      <w:r w:rsidR="0075341A">
        <w:rPr>
          <w:rFonts w:ascii="宋体" w:eastAsia="宋体" w:hAnsi="宋体" w:hint="eastAsia"/>
          <w:color w:val="000000"/>
          <w:sz w:val="24"/>
          <w:szCs w:val="24"/>
        </w:rPr>
        <w:t>基金</w:t>
      </w:r>
      <w:r w:rsidR="005D4C04" w:rsidRPr="00AF6169">
        <w:rPr>
          <w:rFonts w:ascii="宋体" w:eastAsia="宋体" w:hAnsi="宋体" w:hint="eastAsia"/>
          <w:color w:val="000000"/>
          <w:sz w:val="24"/>
          <w:szCs w:val="24"/>
        </w:rPr>
        <w:t>账户</w:t>
      </w:r>
      <w:r w:rsidR="00A24DFD" w:rsidRPr="00AF6169">
        <w:rPr>
          <w:rFonts w:ascii="宋体" w:eastAsia="宋体" w:hAnsi="宋体" w:hint="eastAsia"/>
          <w:color w:val="000000"/>
          <w:sz w:val="24"/>
          <w:szCs w:val="24"/>
        </w:rPr>
        <w:t>每一开放</w:t>
      </w:r>
      <w:r w:rsidR="005D4C04" w:rsidRPr="00AF6169">
        <w:rPr>
          <w:rFonts w:ascii="宋体" w:eastAsia="宋体" w:hAnsi="宋体" w:hint="eastAsia"/>
          <w:color w:val="000000"/>
          <w:sz w:val="24"/>
          <w:szCs w:val="24"/>
        </w:rPr>
        <w:t>日申购、转换转入、定期定额投资累计不得超过</w:t>
      </w:r>
      <w:r w:rsidR="00247A85" w:rsidRPr="00F81162">
        <w:rPr>
          <w:rFonts w:ascii="宋体" w:eastAsia="宋体" w:hAnsi="宋体" w:hint="eastAsia"/>
          <w:color w:val="000000"/>
          <w:sz w:val="24"/>
          <w:szCs w:val="24"/>
        </w:rPr>
        <w:t>50</w:t>
      </w:r>
      <w:r w:rsidR="002E7C28">
        <w:rPr>
          <w:rFonts w:ascii="宋体" w:eastAsia="宋体" w:hAnsi="宋体" w:hint="eastAsia"/>
          <w:color w:val="000000"/>
          <w:sz w:val="24"/>
          <w:szCs w:val="24"/>
        </w:rPr>
        <w:t>万</w:t>
      </w:r>
      <w:r w:rsidR="00B45E93" w:rsidRPr="00AF6169">
        <w:rPr>
          <w:rFonts w:ascii="宋体" w:eastAsia="宋体" w:hAnsi="宋体" w:hint="eastAsia"/>
          <w:color w:val="000000"/>
          <w:sz w:val="24"/>
          <w:szCs w:val="24"/>
        </w:rPr>
        <w:t>元</w:t>
      </w:r>
      <w:r w:rsidRPr="00AF6169"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C06DE1" w:rsidRPr="00B91B2A" w:rsidRDefault="00C15BD2" w:rsidP="00B91B2A">
      <w:pPr>
        <w:adjustRightInd w:val="0"/>
        <w:snapToGrid w:val="0"/>
        <w:rPr>
          <w:rFonts w:ascii="宋体" w:eastAsia="宋体" w:hAnsi="宋体" w:hint="eastAsia"/>
          <w:kern w:val="0"/>
          <w:sz w:val="24"/>
          <w:szCs w:val="24"/>
        </w:rPr>
      </w:pPr>
      <w:r w:rsidRPr="00B91B2A">
        <w:rPr>
          <w:rFonts w:ascii="宋体" w:eastAsia="宋体" w:hAnsi="宋体" w:hint="eastAsia"/>
          <w:color w:val="000000"/>
          <w:sz w:val="24"/>
          <w:szCs w:val="24"/>
        </w:rPr>
        <w:t>（</w:t>
      </w:r>
      <w:r w:rsidR="00F94D95" w:rsidRPr="00B91B2A">
        <w:rPr>
          <w:rFonts w:ascii="宋体" w:eastAsia="宋体" w:hAnsi="宋体" w:hint="eastAsia"/>
          <w:color w:val="000000"/>
          <w:sz w:val="24"/>
          <w:szCs w:val="24"/>
        </w:rPr>
        <w:t>2</w:t>
      </w:r>
      <w:r w:rsidRPr="00B91B2A">
        <w:rPr>
          <w:rFonts w:ascii="宋体" w:eastAsia="宋体" w:hAnsi="宋体" w:hint="eastAsia"/>
          <w:color w:val="000000"/>
          <w:sz w:val="24"/>
          <w:szCs w:val="24"/>
        </w:rPr>
        <w:t>）敬请投资者做好交易安排。详情请登录本公司网站（</w:t>
      </w:r>
      <w:r w:rsidRPr="00B91B2A">
        <w:rPr>
          <w:rFonts w:ascii="宋体" w:eastAsia="宋体" w:hAnsi="宋体"/>
          <w:color w:val="000000"/>
          <w:sz w:val="24"/>
          <w:szCs w:val="24"/>
        </w:rPr>
        <w:t>www.ubssdic.com</w:t>
      </w:r>
      <w:r w:rsidRPr="00B91B2A">
        <w:rPr>
          <w:rFonts w:ascii="宋体" w:eastAsia="宋体" w:hAnsi="宋体" w:hint="eastAsia"/>
          <w:color w:val="000000"/>
          <w:sz w:val="24"/>
          <w:szCs w:val="24"/>
        </w:rPr>
        <w:t>）或拨打本公司客服电话（</w:t>
      </w:r>
      <w:r w:rsidRPr="00B91B2A">
        <w:rPr>
          <w:rFonts w:ascii="宋体" w:eastAsia="宋体" w:hAnsi="宋体"/>
          <w:color w:val="000000"/>
          <w:sz w:val="24"/>
          <w:szCs w:val="24"/>
        </w:rPr>
        <w:t>400-880-6868</w:t>
      </w:r>
      <w:r w:rsidRPr="00B91B2A">
        <w:rPr>
          <w:rFonts w:ascii="宋体" w:eastAsia="宋体" w:hAnsi="宋体" w:hint="eastAsia"/>
          <w:color w:val="000000"/>
          <w:sz w:val="24"/>
          <w:szCs w:val="24"/>
        </w:rPr>
        <w:t>）。</w:t>
      </w:r>
    </w:p>
    <w:sectPr w:rsidR="00C06DE1" w:rsidRPr="00B91B2A">
      <w:footerReference w:type="default" r:id="rId7"/>
      <w:pgSz w:w="11907" w:h="16840"/>
      <w:pgMar w:top="2098" w:right="1588" w:bottom="2098" w:left="1588" w:header="851" w:footer="1440" w:gutter="0"/>
      <w:cols w:space="720"/>
      <w:docGrid w:type="linesAndChars" w:linePitch="574" w:charSpace="24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FD" w:rsidRDefault="000B66FD">
      <w:r>
        <w:separator/>
      </w:r>
    </w:p>
  </w:endnote>
  <w:endnote w:type="continuationSeparator" w:id="0">
    <w:p w:rsidR="000B66FD" w:rsidRDefault="000B6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761" w:rsidRDefault="00C74761">
    <w:pPr>
      <w:pStyle w:val="af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FD" w:rsidRDefault="000B66FD">
      <w:r>
        <w:separator/>
      </w:r>
    </w:p>
  </w:footnote>
  <w:footnote w:type="continuationSeparator" w:id="0">
    <w:p w:rsidR="000B66FD" w:rsidRDefault="000B6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japaneseCounting"/>
      <w:lvlText w:val="（%1）"/>
      <w:lvlJc w:val="left"/>
      <w:pPr>
        <w:tabs>
          <w:tab w:val="num" w:pos="2013"/>
        </w:tabs>
        <w:ind w:left="2013" w:hanging="10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773"/>
        </w:tabs>
        <w:ind w:left="1773" w:hanging="420"/>
      </w:pPr>
    </w:lvl>
    <w:lvl w:ilvl="2">
      <w:start w:val="1"/>
      <w:numFmt w:val="lowerRoman"/>
      <w:lvlText w:val="%3."/>
      <w:lvlJc w:val="right"/>
      <w:pPr>
        <w:tabs>
          <w:tab w:val="num" w:pos="2193"/>
        </w:tabs>
        <w:ind w:left="2193" w:hanging="420"/>
      </w:pPr>
    </w:lvl>
    <w:lvl w:ilvl="3">
      <w:start w:val="1"/>
      <w:numFmt w:val="decimal"/>
      <w:lvlText w:val="%4."/>
      <w:lvlJc w:val="left"/>
      <w:pPr>
        <w:tabs>
          <w:tab w:val="num" w:pos="2613"/>
        </w:tabs>
        <w:ind w:left="2613" w:hanging="420"/>
      </w:pPr>
    </w:lvl>
    <w:lvl w:ilvl="4">
      <w:start w:val="1"/>
      <w:numFmt w:val="lowerLetter"/>
      <w:lvlText w:val="%5)"/>
      <w:lvlJc w:val="left"/>
      <w:pPr>
        <w:tabs>
          <w:tab w:val="num" w:pos="3033"/>
        </w:tabs>
        <w:ind w:left="3033" w:hanging="420"/>
      </w:pPr>
    </w:lvl>
    <w:lvl w:ilvl="5">
      <w:start w:val="1"/>
      <w:numFmt w:val="lowerRoman"/>
      <w:lvlText w:val="%6."/>
      <w:lvlJc w:val="right"/>
      <w:pPr>
        <w:tabs>
          <w:tab w:val="num" w:pos="3453"/>
        </w:tabs>
        <w:ind w:left="3453" w:hanging="420"/>
      </w:pPr>
    </w:lvl>
    <w:lvl w:ilvl="6">
      <w:start w:val="1"/>
      <w:numFmt w:val="decimal"/>
      <w:lvlText w:val="%7."/>
      <w:lvlJc w:val="left"/>
      <w:pPr>
        <w:tabs>
          <w:tab w:val="num" w:pos="3873"/>
        </w:tabs>
        <w:ind w:left="3873" w:hanging="420"/>
      </w:pPr>
    </w:lvl>
    <w:lvl w:ilvl="7">
      <w:start w:val="1"/>
      <w:numFmt w:val="lowerLetter"/>
      <w:lvlText w:val="%8)"/>
      <w:lvlJc w:val="left"/>
      <w:pPr>
        <w:tabs>
          <w:tab w:val="num" w:pos="4293"/>
        </w:tabs>
        <w:ind w:left="4293" w:hanging="420"/>
      </w:pPr>
    </w:lvl>
    <w:lvl w:ilvl="8">
      <w:start w:val="1"/>
      <w:numFmt w:val="lowerRoman"/>
      <w:lvlText w:val="%9."/>
      <w:lvlJc w:val="right"/>
      <w:pPr>
        <w:tabs>
          <w:tab w:val="num" w:pos="4713"/>
        </w:tabs>
        <w:ind w:left="4713" w:hanging="420"/>
      </w:pPr>
    </w:lvl>
  </w:abstractNum>
  <w:abstractNum w:abstractNumId="1">
    <w:nsid w:val="00000005"/>
    <w:multiLevelType w:val="multilevel"/>
    <w:tmpl w:val="00000005"/>
    <w:lvl w:ilvl="0">
      <w:start w:val="1"/>
      <w:numFmt w:val="chineseCountingThousand"/>
      <w:lvlText w:val="第%1条"/>
      <w:lvlJc w:val="left"/>
      <w:pPr>
        <w:tabs>
          <w:tab w:val="num" w:pos="1440"/>
        </w:tabs>
        <w:ind w:left="0" w:firstLine="0"/>
      </w:pPr>
      <w:rPr>
        <w:rFonts w:hint="eastAsia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6"/>
    <w:multiLevelType w:val="singleLevel"/>
    <w:tmpl w:val="00000006"/>
    <w:lvl w:ilvl="0">
      <w:start w:val="1"/>
      <w:numFmt w:val="japaneseCounting"/>
      <w:lvlText w:val="%1、"/>
      <w:lvlJc w:val="left"/>
      <w:pPr>
        <w:tabs>
          <w:tab w:val="num" w:pos="1320"/>
        </w:tabs>
        <w:ind w:left="1320" w:hanging="6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NotTrackMoves/>
  <w:defaultTabStop w:val="425"/>
  <w:drawingGridHorizontalSpacing w:val="311"/>
  <w:drawingGridVerticalSpacing w:val="28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doNotUseHTMLParagraphAutoSpacing/>
    <w:doNotBreakWrappedTab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3F6D"/>
    <w:rsid w:val="00041181"/>
    <w:rsid w:val="00051EF1"/>
    <w:rsid w:val="00057C36"/>
    <w:rsid w:val="000664FC"/>
    <w:rsid w:val="00074CCD"/>
    <w:rsid w:val="0007756B"/>
    <w:rsid w:val="000910BE"/>
    <w:rsid w:val="00094904"/>
    <w:rsid w:val="0009595E"/>
    <w:rsid w:val="00096A6E"/>
    <w:rsid w:val="000A79BA"/>
    <w:rsid w:val="000B66FD"/>
    <w:rsid w:val="000C61A4"/>
    <w:rsid w:val="000E5D8B"/>
    <w:rsid w:val="000F39AA"/>
    <w:rsid w:val="00102002"/>
    <w:rsid w:val="0013153B"/>
    <w:rsid w:val="00163472"/>
    <w:rsid w:val="0018155D"/>
    <w:rsid w:val="00181BD4"/>
    <w:rsid w:val="00196B72"/>
    <w:rsid w:val="001A55C9"/>
    <w:rsid w:val="001B0379"/>
    <w:rsid w:val="001C2826"/>
    <w:rsid w:val="002061AA"/>
    <w:rsid w:val="002075C3"/>
    <w:rsid w:val="0021442B"/>
    <w:rsid w:val="00220F2F"/>
    <w:rsid w:val="00247A85"/>
    <w:rsid w:val="002657F6"/>
    <w:rsid w:val="00266855"/>
    <w:rsid w:val="00273F63"/>
    <w:rsid w:val="002B4381"/>
    <w:rsid w:val="002B438D"/>
    <w:rsid w:val="002B538E"/>
    <w:rsid w:val="002D0A48"/>
    <w:rsid w:val="002D4EC2"/>
    <w:rsid w:val="002D5F87"/>
    <w:rsid w:val="002E2F50"/>
    <w:rsid w:val="002E7C28"/>
    <w:rsid w:val="002F3993"/>
    <w:rsid w:val="00313DE5"/>
    <w:rsid w:val="00324214"/>
    <w:rsid w:val="003300F3"/>
    <w:rsid w:val="0034336D"/>
    <w:rsid w:val="00381A3F"/>
    <w:rsid w:val="00391AA8"/>
    <w:rsid w:val="00391DA4"/>
    <w:rsid w:val="00391DC4"/>
    <w:rsid w:val="003A0FFE"/>
    <w:rsid w:val="003A69AC"/>
    <w:rsid w:val="003B6185"/>
    <w:rsid w:val="003C3709"/>
    <w:rsid w:val="003D33D8"/>
    <w:rsid w:val="003D5C2F"/>
    <w:rsid w:val="003E4357"/>
    <w:rsid w:val="003E640F"/>
    <w:rsid w:val="0040591D"/>
    <w:rsid w:val="00420555"/>
    <w:rsid w:val="00467383"/>
    <w:rsid w:val="00472E80"/>
    <w:rsid w:val="004A18B3"/>
    <w:rsid w:val="004A7A50"/>
    <w:rsid w:val="004D090F"/>
    <w:rsid w:val="004D5B86"/>
    <w:rsid w:val="00511515"/>
    <w:rsid w:val="00526DB9"/>
    <w:rsid w:val="00541214"/>
    <w:rsid w:val="00543306"/>
    <w:rsid w:val="0055680D"/>
    <w:rsid w:val="00563791"/>
    <w:rsid w:val="00572AE9"/>
    <w:rsid w:val="00590E2D"/>
    <w:rsid w:val="00596C8D"/>
    <w:rsid w:val="005A183D"/>
    <w:rsid w:val="005A3049"/>
    <w:rsid w:val="005B6188"/>
    <w:rsid w:val="005D4C04"/>
    <w:rsid w:val="005F539B"/>
    <w:rsid w:val="0061035D"/>
    <w:rsid w:val="00611A9A"/>
    <w:rsid w:val="00612265"/>
    <w:rsid w:val="006325A4"/>
    <w:rsid w:val="00640244"/>
    <w:rsid w:val="00650335"/>
    <w:rsid w:val="00660E91"/>
    <w:rsid w:val="0067492D"/>
    <w:rsid w:val="00691977"/>
    <w:rsid w:val="00691A0A"/>
    <w:rsid w:val="006A0A06"/>
    <w:rsid w:val="006B67ED"/>
    <w:rsid w:val="006C57E0"/>
    <w:rsid w:val="006D376E"/>
    <w:rsid w:val="00701FB6"/>
    <w:rsid w:val="0071632F"/>
    <w:rsid w:val="00727592"/>
    <w:rsid w:val="00740FCB"/>
    <w:rsid w:val="0075341A"/>
    <w:rsid w:val="00774C3F"/>
    <w:rsid w:val="00782FC5"/>
    <w:rsid w:val="00786EBD"/>
    <w:rsid w:val="007938D0"/>
    <w:rsid w:val="007D2AA5"/>
    <w:rsid w:val="007D3DCE"/>
    <w:rsid w:val="007D436A"/>
    <w:rsid w:val="007E095E"/>
    <w:rsid w:val="007F05B4"/>
    <w:rsid w:val="007F379E"/>
    <w:rsid w:val="008020E9"/>
    <w:rsid w:val="008041E7"/>
    <w:rsid w:val="00804417"/>
    <w:rsid w:val="008228EA"/>
    <w:rsid w:val="0082294C"/>
    <w:rsid w:val="00830785"/>
    <w:rsid w:val="00837DE8"/>
    <w:rsid w:val="00880B6E"/>
    <w:rsid w:val="008D2D8C"/>
    <w:rsid w:val="008E3786"/>
    <w:rsid w:val="008E4FA4"/>
    <w:rsid w:val="008F181F"/>
    <w:rsid w:val="008F7282"/>
    <w:rsid w:val="009271DA"/>
    <w:rsid w:val="009415EB"/>
    <w:rsid w:val="00941BAE"/>
    <w:rsid w:val="00963702"/>
    <w:rsid w:val="009750FE"/>
    <w:rsid w:val="00984031"/>
    <w:rsid w:val="009A1388"/>
    <w:rsid w:val="009D3E3D"/>
    <w:rsid w:val="009D7A8D"/>
    <w:rsid w:val="009E53F3"/>
    <w:rsid w:val="00A14D01"/>
    <w:rsid w:val="00A21134"/>
    <w:rsid w:val="00A2228F"/>
    <w:rsid w:val="00A24DFD"/>
    <w:rsid w:val="00A43F14"/>
    <w:rsid w:val="00A56FBA"/>
    <w:rsid w:val="00A72B20"/>
    <w:rsid w:val="00A744A9"/>
    <w:rsid w:val="00A86E48"/>
    <w:rsid w:val="00AB1B3A"/>
    <w:rsid w:val="00AC4906"/>
    <w:rsid w:val="00AC6058"/>
    <w:rsid w:val="00AF2018"/>
    <w:rsid w:val="00AF2AFD"/>
    <w:rsid w:val="00AF6169"/>
    <w:rsid w:val="00B1343D"/>
    <w:rsid w:val="00B20116"/>
    <w:rsid w:val="00B26300"/>
    <w:rsid w:val="00B26546"/>
    <w:rsid w:val="00B35C0B"/>
    <w:rsid w:val="00B45E93"/>
    <w:rsid w:val="00B63A05"/>
    <w:rsid w:val="00B65A89"/>
    <w:rsid w:val="00B65EB4"/>
    <w:rsid w:val="00B739C9"/>
    <w:rsid w:val="00B747B8"/>
    <w:rsid w:val="00B74AB0"/>
    <w:rsid w:val="00B847CF"/>
    <w:rsid w:val="00B91B2A"/>
    <w:rsid w:val="00B9732B"/>
    <w:rsid w:val="00BA4AB4"/>
    <w:rsid w:val="00BA4E75"/>
    <w:rsid w:val="00BC5230"/>
    <w:rsid w:val="00BC7BEB"/>
    <w:rsid w:val="00BE01DC"/>
    <w:rsid w:val="00BE0615"/>
    <w:rsid w:val="00BE32FF"/>
    <w:rsid w:val="00BE7924"/>
    <w:rsid w:val="00BF318E"/>
    <w:rsid w:val="00BF5CAC"/>
    <w:rsid w:val="00C00407"/>
    <w:rsid w:val="00C06DE1"/>
    <w:rsid w:val="00C07ED1"/>
    <w:rsid w:val="00C10861"/>
    <w:rsid w:val="00C138CE"/>
    <w:rsid w:val="00C15BD2"/>
    <w:rsid w:val="00C160FD"/>
    <w:rsid w:val="00C37B77"/>
    <w:rsid w:val="00C46FA4"/>
    <w:rsid w:val="00C475B0"/>
    <w:rsid w:val="00C71636"/>
    <w:rsid w:val="00C74761"/>
    <w:rsid w:val="00CA4D84"/>
    <w:rsid w:val="00CA5B0C"/>
    <w:rsid w:val="00CA66A1"/>
    <w:rsid w:val="00CB0D23"/>
    <w:rsid w:val="00CB6105"/>
    <w:rsid w:val="00CF5E1E"/>
    <w:rsid w:val="00D3406A"/>
    <w:rsid w:val="00D3548E"/>
    <w:rsid w:val="00D417E0"/>
    <w:rsid w:val="00D43567"/>
    <w:rsid w:val="00D60040"/>
    <w:rsid w:val="00D6343D"/>
    <w:rsid w:val="00DB28AD"/>
    <w:rsid w:val="00DB3B4B"/>
    <w:rsid w:val="00DB538C"/>
    <w:rsid w:val="00DB607B"/>
    <w:rsid w:val="00DE51CA"/>
    <w:rsid w:val="00DF428A"/>
    <w:rsid w:val="00E02BE3"/>
    <w:rsid w:val="00E11670"/>
    <w:rsid w:val="00E31DE3"/>
    <w:rsid w:val="00E34A0A"/>
    <w:rsid w:val="00E740B9"/>
    <w:rsid w:val="00E75530"/>
    <w:rsid w:val="00EC310C"/>
    <w:rsid w:val="00EE4BF1"/>
    <w:rsid w:val="00EF0DBB"/>
    <w:rsid w:val="00EF2E58"/>
    <w:rsid w:val="00EF5C30"/>
    <w:rsid w:val="00F03B68"/>
    <w:rsid w:val="00F21005"/>
    <w:rsid w:val="00F2688F"/>
    <w:rsid w:val="00F65092"/>
    <w:rsid w:val="00F81162"/>
    <w:rsid w:val="00F85B59"/>
    <w:rsid w:val="00F8751A"/>
    <w:rsid w:val="00F90BC0"/>
    <w:rsid w:val="00F926F1"/>
    <w:rsid w:val="00F94D95"/>
    <w:rsid w:val="00F97BD9"/>
    <w:rsid w:val="00FB4DE4"/>
    <w:rsid w:val="00FC65AD"/>
    <w:rsid w:val="00FD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rFonts w:eastAsia="方正仿宋简体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rPr>
      <w:vertAlign w:val="superscript"/>
    </w:rPr>
  </w:style>
  <w:style w:type="character" w:customStyle="1" w:styleId="Char">
    <w:name w:val="批注文字 Char"/>
    <w:rPr>
      <w:rFonts w:eastAsia="宋体"/>
      <w:kern w:val="2"/>
      <w:sz w:val="21"/>
      <w:lang w:val="en-US" w:eastAsia="zh-CN"/>
    </w:rPr>
  </w:style>
  <w:style w:type="character" w:styleId="a4">
    <w:name w:val="endnote reference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2Char">
    <w:name w:val="标题 2 Char"/>
    <w:rPr>
      <w:rFonts w:ascii="Arial" w:eastAsia="黑体" w:hAnsi="Arial"/>
      <w:b/>
      <w:kern w:val="2"/>
      <w:sz w:val="32"/>
      <w:lang w:val="en-US" w:eastAsia="zh-CN"/>
    </w:rPr>
  </w:style>
  <w:style w:type="character" w:styleId="a6">
    <w:name w:val="page number"/>
    <w:basedOn w:val="a0"/>
  </w:style>
  <w:style w:type="character" w:styleId="a7">
    <w:name w:val="Strong"/>
    <w:qFormat/>
    <w:rPr>
      <w:b/>
    </w:rPr>
  </w:style>
  <w:style w:type="character" w:styleId="a8">
    <w:name w:val="annotation reference"/>
    <w:rPr>
      <w:sz w:val="21"/>
    </w:rPr>
  </w:style>
  <w:style w:type="character" w:customStyle="1" w:styleId="Char0">
    <w:name w:val="正文文本 Char"/>
    <w:rPr>
      <w:rFonts w:eastAsia="方正仿宋简体"/>
      <w:kern w:val="2"/>
      <w:sz w:val="32"/>
      <w:lang w:val="en-US" w:eastAsia="zh-CN"/>
    </w:rPr>
  </w:style>
  <w:style w:type="paragraph" w:customStyle="1" w:styleId="xl30">
    <w:name w:val="xl30"/>
    <w:basedOn w:val="a"/>
    <w:pPr>
      <w:spacing w:before="100" w:beforeAutospacing="1" w:after="100" w:afterAutospacing="1"/>
      <w:jc w:val="right"/>
    </w:pPr>
    <w:rPr>
      <w:rFonts w:eastAsia="Arial Unicode MS"/>
      <w:kern w:val="0"/>
      <w:sz w:val="21"/>
    </w:rPr>
  </w:style>
  <w:style w:type="paragraph" w:styleId="10">
    <w:name w:val="toc 1"/>
    <w:basedOn w:val="a"/>
    <w:next w:val="a"/>
    <w:rPr>
      <w:rFonts w:eastAsia="宋体"/>
      <w:sz w:val="21"/>
    </w:rPr>
  </w:style>
  <w:style w:type="paragraph" w:customStyle="1" w:styleId="CharChar1Char">
    <w:name w:val=" Char Char1 Char"/>
    <w:basedOn w:val="a"/>
    <w:pPr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9">
    <w:name w:val="annotation subject"/>
    <w:basedOn w:val="aa"/>
    <w:next w:val="aa"/>
    <w:rPr>
      <w:b/>
    </w:rPr>
  </w:style>
  <w:style w:type="paragraph" w:styleId="ab">
    <w:name w:val="Body Text Indent"/>
    <w:basedOn w:val="a"/>
    <w:pPr>
      <w:spacing w:after="120"/>
      <w:ind w:leftChars="200" w:left="420"/>
    </w:pPr>
  </w:style>
  <w:style w:type="paragraph" w:customStyle="1" w:styleId="xl33">
    <w:name w:val="xl3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</w:rPr>
  </w:style>
  <w:style w:type="paragraph" w:styleId="ac">
    <w:name w:val="Date"/>
    <w:basedOn w:val="a"/>
    <w:next w:val="a"/>
    <w:rPr>
      <w:rFonts w:ascii="宋体" w:eastAsia="宋体"/>
    </w:rPr>
  </w:style>
  <w:style w:type="paragraph" w:customStyle="1" w:styleId="Char1">
    <w:name w:val="Char"/>
    <w:basedOn w:val="a"/>
    <w:pPr>
      <w:tabs>
        <w:tab w:val="left" w:pos="360"/>
      </w:tabs>
    </w:pPr>
    <w:rPr>
      <w:rFonts w:eastAsia="宋体"/>
      <w:sz w:val="24"/>
    </w:rPr>
  </w:style>
  <w:style w:type="paragraph" w:customStyle="1" w:styleId="ad">
    <w:name w:val="附录款(一)"/>
    <w:basedOn w:val="a"/>
    <w:rPr>
      <w:rFonts w:eastAsia="宋体"/>
      <w:sz w:val="24"/>
    </w:rPr>
  </w:style>
  <w:style w:type="paragraph" w:customStyle="1" w:styleId="ParaChar">
    <w:name w:val="默认段落字体 Para Char"/>
    <w:basedOn w:val="a"/>
    <w:pPr>
      <w:numPr>
        <w:numId w:val="1"/>
      </w:numPr>
      <w:tabs>
        <w:tab w:val="left" w:pos="2013"/>
      </w:tabs>
      <w:spacing w:before="312" w:after="312"/>
    </w:pPr>
    <w:rPr>
      <w:rFonts w:eastAsia="宋体"/>
      <w:sz w:val="24"/>
    </w:rPr>
  </w:style>
  <w:style w:type="paragraph" w:styleId="20">
    <w:name w:val="Body Text 2"/>
    <w:basedOn w:val="a"/>
    <w:pPr>
      <w:ind w:firstLine="720"/>
    </w:pPr>
    <w:rPr>
      <w:rFonts w:ascii="仿宋_GB2312" w:eastAsia="仿宋_GB2312"/>
      <w:sz w:val="28"/>
    </w:rPr>
  </w:style>
  <w:style w:type="paragraph" w:styleId="ae">
    <w:name w:val="Plain Text"/>
    <w:basedOn w:val="a"/>
    <w:rPr>
      <w:rFonts w:ascii="宋体" w:eastAsia="宋体" w:hAnsi="Courier New"/>
      <w:sz w:val="21"/>
    </w:rPr>
  </w:style>
  <w:style w:type="paragraph" w:styleId="aa">
    <w:name w:val="annotation text"/>
    <w:basedOn w:val="a"/>
    <w:rPr>
      <w:rFonts w:eastAsia="宋体"/>
      <w:sz w:val="21"/>
    </w:rPr>
  </w:style>
  <w:style w:type="paragraph" w:customStyle="1" w:styleId="CharCharCharChar">
    <w:name w:val=" Char Char Char Char"/>
    <w:basedOn w:val="a"/>
    <w:rPr>
      <w:rFonts w:ascii="Tahoma" w:eastAsia="宋体" w:hAnsi="Tahoma"/>
      <w:sz w:val="24"/>
    </w:rPr>
  </w:style>
  <w:style w:type="paragraph" w:customStyle="1" w:styleId="CharCharCharCharCharCharCharCharChar">
    <w:name w:val=" Char Char Char Char Char Char Char Char Char"/>
    <w:basedOn w:val="a"/>
    <w:pPr>
      <w:numPr>
        <w:numId w:val="2"/>
      </w:numPr>
      <w:tabs>
        <w:tab w:val="left" w:pos="1320"/>
      </w:tabs>
    </w:pPr>
    <w:rPr>
      <w:rFonts w:eastAsia="宋体"/>
      <w:sz w:val="24"/>
    </w:rPr>
  </w:style>
  <w:style w:type="paragraph" w:styleId="af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0">
    <w:name w:val="正文条"/>
    <w:basedOn w:val="a"/>
    <w:pPr>
      <w:numPr>
        <w:numId w:val="3"/>
      </w:numPr>
      <w:tabs>
        <w:tab w:val="left" w:pos="1440"/>
      </w:tabs>
    </w:pPr>
    <w:rPr>
      <w:rFonts w:eastAsia="宋体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360" w:lineRule="auto"/>
    </w:pPr>
    <w:rPr>
      <w:rFonts w:ascii="宋体"/>
      <w:color w:val="000000"/>
      <w:sz w:val="24"/>
    </w:rPr>
  </w:style>
  <w:style w:type="paragraph" w:customStyle="1" w:styleId="PlainText">
    <w:name w:val="Plain Text"/>
    <w:basedOn w:val="a"/>
    <w:pPr>
      <w:autoSpaceDE w:val="0"/>
      <w:autoSpaceDN w:val="0"/>
      <w:adjustRightInd w:val="0"/>
    </w:pPr>
    <w:rPr>
      <w:rFonts w:ascii="宋体" w:eastAsia="宋体" w:hint="eastAsia"/>
      <w:sz w:val="21"/>
    </w:rPr>
  </w:style>
  <w:style w:type="paragraph" w:styleId="af1">
    <w:name w:val="footnote text"/>
    <w:basedOn w:val="a"/>
    <w:pPr>
      <w:snapToGrid w:val="0"/>
    </w:pPr>
    <w:rPr>
      <w:rFonts w:eastAsia="宋体"/>
      <w:sz w:val="18"/>
    </w:rPr>
  </w:style>
  <w:style w:type="paragraph" w:customStyle="1" w:styleId="Char1CharCharCharCharCharChar">
    <w:name w:val=" Char1 Char Char Char Char Char Char"/>
    <w:basedOn w:val="a"/>
    <w:rPr>
      <w:rFonts w:eastAsia="宋体"/>
      <w:sz w:val="21"/>
    </w:rPr>
  </w:style>
  <w:style w:type="paragraph" w:styleId="af2">
    <w:name w:val="Balloon Text"/>
    <w:basedOn w:val="a"/>
    <w:rPr>
      <w:sz w:val="18"/>
    </w:rPr>
  </w:style>
  <w:style w:type="paragraph" w:customStyle="1" w:styleId="CharCharCharCharCharCharChar">
    <w:name w:val=" Char Char Char Char Char Char Char"/>
    <w:basedOn w:val="a"/>
    <w:pPr>
      <w:tabs>
        <w:tab w:val="left" w:pos="360"/>
      </w:tabs>
    </w:pPr>
    <w:rPr>
      <w:rFonts w:eastAsia="宋体"/>
      <w:sz w:val="21"/>
    </w:rPr>
  </w:style>
  <w:style w:type="paragraph" w:customStyle="1" w:styleId="CharCharCharCharCharChar1CharCharChar">
    <w:name w:val=" Char Char Char Char Char Char1 Char Char Char"/>
    <w:basedOn w:val="a"/>
    <w:pPr>
      <w:autoSpaceDE w:val="0"/>
      <w:autoSpaceDN w:val="0"/>
      <w:adjustRightInd w:val="0"/>
      <w:textAlignment w:val="baseline"/>
    </w:pPr>
  </w:style>
  <w:style w:type="paragraph" w:styleId="af3">
    <w:name w:val="Body Text"/>
    <w:basedOn w:val="a"/>
    <w:pPr>
      <w:spacing w:after="120"/>
    </w:pPr>
  </w:style>
  <w:style w:type="paragraph" w:customStyle="1" w:styleId="Char2">
    <w:name w:val=" Char"/>
    <w:basedOn w:val="a"/>
    <w:pPr>
      <w:tabs>
        <w:tab w:val="left" w:pos="360"/>
      </w:tabs>
      <w:spacing w:line="560" w:lineRule="exact"/>
    </w:pPr>
    <w:rPr>
      <w:rFonts w:eastAsia="宋体"/>
      <w:sz w:val="21"/>
    </w:rPr>
  </w:style>
  <w:style w:type="paragraph" w:styleId="af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21">
    <w:name w:val="toc 2"/>
    <w:basedOn w:val="a"/>
    <w:next w:val="a"/>
    <w:pPr>
      <w:ind w:leftChars="200" w:left="420"/>
    </w:pPr>
    <w:rPr>
      <w:rFonts w:eastAsia="宋体"/>
      <w:sz w:val="21"/>
    </w:rPr>
  </w:style>
  <w:style w:type="paragraph" w:styleId="af5">
    <w:name w:val="Normal (Web)"/>
    <w:basedOn w:val="a"/>
    <w:pPr>
      <w:spacing w:before="100" w:beforeAutospacing="1" w:after="100" w:afterAutospacing="1"/>
    </w:pPr>
    <w:rPr>
      <w:rFonts w:ascii="宋体" w:eastAsia="宋体" w:hAnsi="宋体"/>
      <w:kern w:val="0"/>
      <w:sz w:val="24"/>
    </w:rPr>
  </w:style>
  <w:style w:type="paragraph" w:styleId="af6">
    <w:name w:val="endnote text"/>
    <w:basedOn w:val="a"/>
    <w:pPr>
      <w:snapToGrid w:val="0"/>
    </w:pPr>
  </w:style>
  <w:style w:type="paragraph" w:styleId="af7">
    <w:name w:val="Revision"/>
    <w:hidden/>
    <w:semiHidden/>
    <w:pPr>
      <w:spacing w:line="360" w:lineRule="auto"/>
    </w:pPr>
    <w:rPr>
      <w:rFonts w:eastAsia="方正仿宋简体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0013;&#22269;&#35777;&#21048;&#30417;&#30563;&#31649;&#29702;&#22996;&#21592;&#20250;&#20196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中国证券监督管理委员会令</Template>
  <TotalTime>0</TotalTime>
  <Pages>2</Pages>
  <Words>103</Words>
  <Characters>589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Company>CSRC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ZHONGM</cp:lastModifiedBy>
  <cp:revision>2</cp:revision>
  <cp:lastPrinted>2010-11-24T09:24:00Z</cp:lastPrinted>
  <dcterms:created xsi:type="dcterms:W3CDTF">2023-10-30T16:01:00Z</dcterms:created>
  <dcterms:modified xsi:type="dcterms:W3CDTF">2023-10-30T16:01:00Z</dcterms:modified>
</cp:coreProperties>
</file>