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DE1" w:rsidRPr="00CD7316" w:rsidRDefault="003D2BD2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2"/>
        </w:rPr>
      </w:pPr>
      <w:bookmarkStart w:id="0" w:name="_Toc275961404"/>
      <w:r w:rsidRPr="00E47261">
        <w:rPr>
          <w:rFonts w:ascii="黑体" w:eastAsia="黑体" w:hAnsi="黑体" w:hint="eastAsia"/>
          <w:b w:val="0"/>
          <w:color w:val="000000"/>
          <w:sz w:val="32"/>
        </w:rPr>
        <w:t>国投瑞银货币市场基金</w:t>
      </w:r>
      <w:r w:rsidR="00780EB9" w:rsidRPr="00CD7316">
        <w:rPr>
          <w:rFonts w:ascii="黑体" w:eastAsia="黑体" w:hAnsi="黑体" w:hint="eastAsia"/>
          <w:b w:val="0"/>
          <w:color w:val="000000"/>
          <w:sz w:val="32"/>
        </w:rPr>
        <w:t>调整</w:t>
      </w:r>
      <w:r w:rsidR="00BA70BD" w:rsidRPr="00CD7316">
        <w:rPr>
          <w:rFonts w:ascii="黑体" w:eastAsia="黑体" w:hAnsi="黑体" w:hint="eastAsia"/>
          <w:b w:val="0"/>
          <w:color w:val="000000"/>
          <w:sz w:val="32"/>
        </w:rPr>
        <w:t>大额申购</w:t>
      </w:r>
      <w:r w:rsidR="00C06DE1" w:rsidRPr="00CD7316">
        <w:rPr>
          <w:rFonts w:ascii="黑体" w:eastAsia="黑体" w:hAnsi="黑体"/>
          <w:b w:val="0"/>
          <w:color w:val="000000"/>
          <w:sz w:val="32"/>
        </w:rPr>
        <w:t>（转换转入</w:t>
      </w:r>
      <w:r w:rsidR="007938D0" w:rsidRPr="00CD7316">
        <w:rPr>
          <w:rFonts w:ascii="黑体" w:eastAsia="黑体" w:hAnsi="黑体" w:hint="eastAsia"/>
          <w:b w:val="0"/>
          <w:color w:val="000000"/>
          <w:sz w:val="32"/>
        </w:rPr>
        <w:t>、</w:t>
      </w:r>
      <w:r w:rsidR="00C06DE1" w:rsidRPr="00CD7316">
        <w:rPr>
          <w:rFonts w:ascii="黑体" w:eastAsia="黑体" w:hAnsi="黑体"/>
          <w:b w:val="0"/>
          <w:color w:val="000000"/>
          <w:sz w:val="32"/>
        </w:rPr>
        <w:t>定期定额投资）</w:t>
      </w:r>
      <w:r w:rsidR="00063695" w:rsidRPr="00CD7316">
        <w:rPr>
          <w:rFonts w:ascii="黑体" w:eastAsia="黑体" w:hAnsi="黑体" w:hint="eastAsia"/>
          <w:b w:val="0"/>
          <w:color w:val="000000"/>
          <w:sz w:val="32"/>
        </w:rPr>
        <w:t>业务限制</w:t>
      </w:r>
      <w:r w:rsidR="0032289B" w:rsidRPr="00CD7316">
        <w:rPr>
          <w:rFonts w:ascii="黑体" w:eastAsia="黑体" w:hAnsi="黑体" w:hint="eastAsia"/>
          <w:b w:val="0"/>
          <w:color w:val="000000"/>
          <w:sz w:val="32"/>
        </w:rPr>
        <w:t>的</w:t>
      </w:r>
      <w:r w:rsidR="00C06DE1" w:rsidRPr="00CD7316">
        <w:rPr>
          <w:rFonts w:ascii="黑体" w:eastAsia="黑体" w:hAnsi="黑体"/>
          <w:b w:val="0"/>
          <w:color w:val="000000"/>
          <w:sz w:val="32"/>
        </w:rPr>
        <w:t>公告</w:t>
      </w:r>
      <w:bookmarkEnd w:id="0"/>
    </w:p>
    <w:p w:rsidR="00C06DE1" w:rsidRPr="00780EB9" w:rsidRDefault="00C06DE1">
      <w:pPr>
        <w:spacing w:line="560" w:lineRule="exact"/>
        <w:rPr>
          <w:color w:val="000000"/>
        </w:rPr>
      </w:pPr>
    </w:p>
    <w:p w:rsidR="00C06DE1" w:rsidRPr="00AF2018" w:rsidRDefault="00C06DE1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 w:rsidRPr="00AF2018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AC272B" w:rsidRPr="00AF2018">
        <w:rPr>
          <w:rFonts w:ascii="宋体" w:eastAsia="宋体" w:hAnsi="宋体" w:hint="eastAsia"/>
          <w:color w:val="000000"/>
          <w:sz w:val="24"/>
          <w:szCs w:val="24"/>
        </w:rPr>
        <w:t>20</w:t>
      </w:r>
      <w:r w:rsidR="00AC272B">
        <w:rPr>
          <w:rFonts w:ascii="宋体" w:eastAsia="宋体" w:hAnsi="宋体" w:hint="eastAsia"/>
          <w:color w:val="000000"/>
          <w:sz w:val="24"/>
          <w:szCs w:val="24"/>
        </w:rPr>
        <w:t>2</w:t>
      </w:r>
      <w:r w:rsidR="00AC272B">
        <w:rPr>
          <w:rFonts w:ascii="宋体" w:eastAsia="宋体" w:hAnsi="宋体"/>
          <w:color w:val="000000"/>
          <w:sz w:val="24"/>
          <w:szCs w:val="24"/>
        </w:rPr>
        <w:t>3</w:t>
      </w:r>
      <w:r w:rsidR="00C7006B" w:rsidRPr="00AF2018">
        <w:rPr>
          <w:rFonts w:ascii="宋体" w:eastAsia="宋体" w:hAnsi="宋体"/>
          <w:color w:val="000000"/>
          <w:sz w:val="24"/>
          <w:szCs w:val="24"/>
        </w:rPr>
        <w:t>年</w:t>
      </w:r>
      <w:r w:rsidR="00BC563B">
        <w:rPr>
          <w:rFonts w:ascii="宋体" w:eastAsia="宋体" w:hAnsi="宋体"/>
          <w:color w:val="000000"/>
          <w:sz w:val="24"/>
          <w:szCs w:val="24"/>
        </w:rPr>
        <w:t>10</w:t>
      </w:r>
      <w:r w:rsidR="0007756B" w:rsidRPr="00AF2018">
        <w:rPr>
          <w:rFonts w:ascii="宋体" w:eastAsia="宋体" w:hAnsi="宋体"/>
          <w:color w:val="000000"/>
          <w:sz w:val="24"/>
          <w:szCs w:val="24"/>
        </w:rPr>
        <w:t>月</w:t>
      </w:r>
      <w:r w:rsidR="00BC563B">
        <w:rPr>
          <w:rFonts w:ascii="宋体" w:eastAsia="宋体" w:hAnsi="宋体" w:hint="eastAsia"/>
          <w:color w:val="000000"/>
          <w:sz w:val="24"/>
          <w:szCs w:val="24"/>
        </w:rPr>
        <w:t>3</w:t>
      </w:r>
      <w:r w:rsidR="00E47261">
        <w:rPr>
          <w:rFonts w:ascii="宋体" w:eastAsia="宋体" w:hAnsi="宋体"/>
          <w:color w:val="000000"/>
          <w:sz w:val="24"/>
          <w:szCs w:val="24"/>
        </w:rPr>
        <w:t>1</w:t>
      </w:r>
      <w:r w:rsidRPr="00AF2018">
        <w:rPr>
          <w:rFonts w:ascii="宋体" w:eastAsia="宋体" w:hAnsi="宋体"/>
          <w:color w:val="000000"/>
          <w:sz w:val="24"/>
          <w:szCs w:val="24"/>
        </w:rPr>
        <w:t>日</w:t>
      </w:r>
    </w:p>
    <w:p w:rsidR="00C06DE1" w:rsidRPr="004C19EB" w:rsidRDefault="00C06DE1">
      <w:pPr>
        <w:spacing w:line="560" w:lineRule="exact"/>
        <w:rPr>
          <w:rFonts w:ascii="宋体" w:eastAsia="宋体" w:hAnsi="宋体"/>
          <w:color w:val="000000"/>
          <w:sz w:val="24"/>
          <w:szCs w:val="24"/>
        </w:rPr>
      </w:pPr>
    </w:p>
    <w:p w:rsidR="00C06DE1" w:rsidRPr="00AF2018" w:rsidRDefault="00C06DE1">
      <w:pPr>
        <w:pStyle w:val="2"/>
        <w:spacing w:line="560" w:lineRule="exact"/>
        <w:rPr>
          <w:rFonts w:ascii="宋体" w:eastAsia="宋体" w:hAnsi="宋体"/>
          <w:color w:val="000000"/>
          <w:sz w:val="24"/>
          <w:szCs w:val="24"/>
        </w:rPr>
      </w:pPr>
      <w:bookmarkStart w:id="1" w:name="_Toc275961405"/>
      <w:r w:rsidRPr="00AF2018">
        <w:rPr>
          <w:rFonts w:ascii="宋体" w:eastAsia="宋体" w:hAnsi="宋体"/>
          <w:color w:val="000000"/>
          <w:sz w:val="24"/>
          <w:szCs w:val="24"/>
        </w:rPr>
        <w:t>1公告基本信息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4252"/>
        <w:gridCol w:w="1276"/>
        <w:gridCol w:w="1276"/>
        <w:gridCol w:w="1264"/>
      </w:tblGrid>
      <w:tr w:rsidR="00915044" w:rsidRPr="00AF2018" w:rsidTr="003F3251">
        <w:trPr>
          <w:trHeight w:val="356"/>
          <w:jc w:val="center"/>
        </w:trPr>
        <w:tc>
          <w:tcPr>
            <w:tcW w:w="5292" w:type="dxa"/>
            <w:gridSpan w:val="2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3D2BD2" w:rsidP="00E47261">
            <w:pPr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3D2BD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国投瑞银货币市场基金</w:t>
            </w:r>
          </w:p>
        </w:tc>
      </w:tr>
      <w:tr w:rsidR="00915044" w:rsidRPr="00AF2018" w:rsidTr="003F3251">
        <w:trPr>
          <w:trHeight w:val="417"/>
          <w:jc w:val="center"/>
        </w:trPr>
        <w:tc>
          <w:tcPr>
            <w:tcW w:w="5292" w:type="dxa"/>
            <w:gridSpan w:val="2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D2BD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国投瑞银货币</w:t>
            </w:r>
          </w:p>
        </w:tc>
      </w:tr>
      <w:tr w:rsidR="00915044" w:rsidRPr="00AF2018" w:rsidTr="003F3251">
        <w:trPr>
          <w:trHeight w:val="424"/>
          <w:jc w:val="center"/>
        </w:trPr>
        <w:tc>
          <w:tcPr>
            <w:tcW w:w="5292" w:type="dxa"/>
            <w:gridSpan w:val="2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D2BD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121011</w:t>
            </w:r>
          </w:p>
        </w:tc>
      </w:tr>
      <w:tr w:rsidR="00915044" w:rsidRPr="00AF2018" w:rsidTr="003F3251">
        <w:trPr>
          <w:trHeight w:val="416"/>
          <w:jc w:val="center"/>
        </w:trPr>
        <w:tc>
          <w:tcPr>
            <w:tcW w:w="5292" w:type="dxa"/>
            <w:gridSpan w:val="2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国投瑞银基金管理有限公司</w:t>
            </w:r>
          </w:p>
        </w:tc>
      </w:tr>
      <w:tr w:rsidR="00915044" w:rsidRPr="00AF2018" w:rsidTr="00E47261">
        <w:trPr>
          <w:jc w:val="center"/>
        </w:trPr>
        <w:tc>
          <w:tcPr>
            <w:tcW w:w="5292" w:type="dxa"/>
            <w:gridSpan w:val="2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C7006B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C700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《公开募集证券投资基金信息披露管理办法》及本基金基金合同和招募说明书等</w:t>
            </w:r>
          </w:p>
        </w:tc>
      </w:tr>
      <w:tr w:rsidR="00915044" w:rsidRPr="00AF2018" w:rsidTr="003F3251">
        <w:trPr>
          <w:trHeight w:val="449"/>
          <w:jc w:val="center"/>
        </w:trPr>
        <w:tc>
          <w:tcPr>
            <w:tcW w:w="1040" w:type="dxa"/>
            <w:vMerge w:val="restart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相关业务的起始日及原因说明</w:t>
            </w:r>
          </w:p>
        </w:tc>
        <w:tc>
          <w:tcPr>
            <w:tcW w:w="4252" w:type="dxa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调整大额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申购起始日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AC272B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3</w:t>
            </w:r>
            <w:r w:rsidR="00C12625"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="00E47261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11</w:t>
            </w:r>
            <w:r w:rsidR="00C12625"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47261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 w:rsidR="00915044"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15044" w:rsidRPr="00AF2018" w:rsidTr="003F3251">
        <w:trPr>
          <w:trHeight w:val="428"/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调整大额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转换转入起始日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3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="00E47261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11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47261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15044" w:rsidRPr="00AF2018" w:rsidTr="003F3251">
        <w:trPr>
          <w:trHeight w:val="420"/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调整大额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3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="00E47261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11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47261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15044" w:rsidRPr="00AF2018" w:rsidTr="003F3251">
        <w:trPr>
          <w:trHeight w:val="412"/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限制申购金额（单位：万元）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AC272B" w:rsidP="00E47261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15044" w:rsidRPr="00AF2018" w:rsidTr="003F3251">
        <w:trPr>
          <w:trHeight w:val="417"/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Default="00915044" w:rsidP="00E47261">
            <w:pPr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限制转换入金额（单位：万元）</w:t>
            </w:r>
          </w:p>
        </w:tc>
        <w:tc>
          <w:tcPr>
            <w:tcW w:w="3816" w:type="dxa"/>
            <w:gridSpan w:val="3"/>
            <w:vAlign w:val="center"/>
          </w:tcPr>
          <w:p w:rsidR="00915044" w:rsidRDefault="00AC272B" w:rsidP="00E47261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15044" w:rsidRPr="00AF2018" w:rsidTr="003F3251">
        <w:trPr>
          <w:trHeight w:val="409"/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Default="00915044" w:rsidP="00E47261">
            <w:pPr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限制定期定额</w:t>
            </w:r>
            <w:r w:rsidR="00E0013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投资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金额（单位：万元）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B45E93" w:rsidRDefault="00AC272B" w:rsidP="00E47261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15044" w:rsidRPr="00AF2018" w:rsidTr="003F3251">
        <w:trPr>
          <w:trHeight w:val="699"/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调整大额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申购（转换转入、定期定额投资）</w:t>
            </w:r>
            <w:r w:rsidR="00972D38">
              <w:rPr>
                <w:rFonts w:ascii="宋体" w:eastAsia="宋体" w:hAnsi="宋体"/>
                <w:color w:val="000000"/>
                <w:sz w:val="24"/>
                <w:szCs w:val="24"/>
              </w:rPr>
              <w:t>业务限制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915044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为维护现有基金份额持有人利益</w:t>
            </w:r>
          </w:p>
        </w:tc>
      </w:tr>
      <w:tr w:rsidR="003D2BD2" w:rsidRPr="00AF2018" w:rsidTr="00E47261">
        <w:trPr>
          <w:jc w:val="center"/>
        </w:trPr>
        <w:tc>
          <w:tcPr>
            <w:tcW w:w="5292" w:type="dxa"/>
            <w:gridSpan w:val="2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下属</w:t>
            </w:r>
            <w:r w:rsidRPr="00C700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基金份额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的基金简称</w:t>
            </w:r>
          </w:p>
        </w:tc>
        <w:tc>
          <w:tcPr>
            <w:tcW w:w="1276" w:type="dxa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D2BD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国投瑞银货币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D2BD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国投瑞银货币</w:t>
            </w:r>
            <w:r w:rsidR="00E47261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264" w:type="dxa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D2BD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国投瑞银货币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3D2BD2" w:rsidRPr="00AF2018" w:rsidTr="00E47261">
        <w:trPr>
          <w:trHeight w:val="475"/>
          <w:jc w:val="center"/>
        </w:trPr>
        <w:tc>
          <w:tcPr>
            <w:tcW w:w="5292" w:type="dxa"/>
            <w:gridSpan w:val="2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下属</w:t>
            </w:r>
            <w:r w:rsidRPr="00C700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基金份额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的交易代码</w:t>
            </w:r>
          </w:p>
        </w:tc>
        <w:tc>
          <w:tcPr>
            <w:tcW w:w="1276" w:type="dxa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D2BD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121011</w:t>
            </w:r>
          </w:p>
        </w:tc>
        <w:tc>
          <w:tcPr>
            <w:tcW w:w="1276" w:type="dxa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D2BD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128011</w:t>
            </w:r>
          </w:p>
        </w:tc>
        <w:tc>
          <w:tcPr>
            <w:tcW w:w="1264" w:type="dxa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D2BD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018486</w:t>
            </w:r>
          </w:p>
        </w:tc>
      </w:tr>
      <w:tr w:rsidR="003D2BD2" w:rsidRPr="00AF2018" w:rsidTr="003F3251">
        <w:trPr>
          <w:trHeight w:val="653"/>
          <w:jc w:val="center"/>
        </w:trPr>
        <w:tc>
          <w:tcPr>
            <w:tcW w:w="5292" w:type="dxa"/>
            <w:gridSpan w:val="2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该</w:t>
            </w:r>
            <w:r w:rsidRPr="00C700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基金份额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调整大额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申购（转换转入、定期定额投资）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业务限制</w:t>
            </w:r>
          </w:p>
        </w:tc>
        <w:tc>
          <w:tcPr>
            <w:tcW w:w="1276" w:type="dxa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5A1A73">
              <w:rPr>
                <w:rFonts w:ascii="宋体" w:eastAsia="宋体" w:hAnsi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5A1A73">
              <w:rPr>
                <w:rFonts w:ascii="宋体" w:eastAsia="宋体" w:hAnsi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264" w:type="dxa"/>
            <w:vAlign w:val="center"/>
          </w:tcPr>
          <w:p w:rsidR="003D2BD2" w:rsidRPr="00AF2018" w:rsidRDefault="003D2BD2" w:rsidP="00E47261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5A1A73">
              <w:rPr>
                <w:rFonts w:ascii="宋体" w:eastAsia="宋体" w:hAnsi="宋体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C06DE1" w:rsidRPr="00AF2018" w:rsidRDefault="00C06DE1">
      <w:pPr>
        <w:pStyle w:val="2"/>
        <w:spacing w:line="560" w:lineRule="exact"/>
        <w:rPr>
          <w:rFonts w:ascii="宋体" w:eastAsia="宋体" w:hAnsi="宋体"/>
          <w:color w:val="000000"/>
          <w:sz w:val="24"/>
          <w:szCs w:val="24"/>
        </w:rPr>
      </w:pPr>
      <w:bookmarkStart w:id="2" w:name="_Toc275961406"/>
      <w:r w:rsidRPr="00AF2018">
        <w:rPr>
          <w:rFonts w:ascii="宋体" w:eastAsia="宋体" w:hAnsi="宋体"/>
          <w:color w:val="000000"/>
          <w:sz w:val="24"/>
          <w:szCs w:val="24"/>
        </w:rPr>
        <w:lastRenderedPageBreak/>
        <w:t>2其他需要提示的事项</w:t>
      </w:r>
      <w:bookmarkEnd w:id="2"/>
    </w:p>
    <w:p w:rsidR="009E00B0" w:rsidRPr="009E00B0" w:rsidRDefault="00C15BD2" w:rsidP="003D2BD2">
      <w:pPr>
        <w:spacing w:line="560" w:lineRule="exact"/>
        <w:rPr>
          <w:rFonts w:ascii="宋体" w:eastAsia="宋体" w:hAnsi="宋体" w:hint="eastAsia"/>
          <w:color w:val="000000"/>
          <w:sz w:val="24"/>
          <w:szCs w:val="24"/>
        </w:rPr>
      </w:pPr>
      <w:r w:rsidRPr="00AF2018">
        <w:rPr>
          <w:rFonts w:ascii="宋体" w:eastAsia="宋体" w:hAnsi="宋体"/>
          <w:color w:val="000000"/>
          <w:sz w:val="24"/>
          <w:szCs w:val="24"/>
        </w:rPr>
        <w:t>（1）</w:t>
      </w:r>
      <w:r w:rsidR="003D2BD2" w:rsidRPr="00F86BCB">
        <w:rPr>
          <w:rFonts w:ascii="宋体" w:eastAsia="宋体" w:hAnsi="宋体" w:hint="eastAsia"/>
          <w:color w:val="000000"/>
          <w:sz w:val="24"/>
          <w:szCs w:val="24"/>
        </w:rPr>
        <w:t>20</w:t>
      </w:r>
      <w:r w:rsidR="003D2BD2">
        <w:rPr>
          <w:rFonts w:ascii="宋体" w:eastAsia="宋体" w:hAnsi="宋体" w:hint="eastAsia"/>
          <w:color w:val="000000"/>
          <w:sz w:val="24"/>
          <w:szCs w:val="24"/>
        </w:rPr>
        <w:t>2</w:t>
      </w:r>
      <w:r w:rsidR="003D2BD2">
        <w:rPr>
          <w:rFonts w:ascii="宋体" w:eastAsia="宋体" w:hAnsi="宋体"/>
          <w:color w:val="000000"/>
          <w:sz w:val="24"/>
          <w:szCs w:val="24"/>
        </w:rPr>
        <w:t>3</w:t>
      </w:r>
      <w:r w:rsidR="00AC272B" w:rsidRPr="00F86BCB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3D2BD2">
        <w:rPr>
          <w:rFonts w:ascii="宋体" w:eastAsia="宋体" w:hAnsi="宋体"/>
          <w:color w:val="000000"/>
          <w:sz w:val="24"/>
          <w:szCs w:val="24"/>
        </w:rPr>
        <w:t>7</w:t>
      </w:r>
      <w:r w:rsidR="00AC272B" w:rsidRPr="00F86BCB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3D2BD2">
        <w:rPr>
          <w:rFonts w:ascii="宋体" w:eastAsia="宋体" w:hAnsi="宋体"/>
          <w:color w:val="000000"/>
          <w:sz w:val="24"/>
          <w:szCs w:val="24"/>
        </w:rPr>
        <w:t>1</w:t>
      </w:r>
      <w:r w:rsidR="00F86BCB" w:rsidRPr="00F86BCB">
        <w:rPr>
          <w:rFonts w:ascii="宋体" w:eastAsia="宋体" w:hAnsi="宋体" w:hint="eastAsia"/>
          <w:color w:val="000000"/>
          <w:sz w:val="24"/>
          <w:szCs w:val="24"/>
        </w:rPr>
        <w:t>日</w:t>
      </w:r>
      <w:r w:rsidR="00373306">
        <w:rPr>
          <w:rFonts w:ascii="宋体" w:eastAsia="宋体" w:hAnsi="宋体" w:hint="eastAsia"/>
          <w:color w:val="000000"/>
          <w:sz w:val="24"/>
          <w:szCs w:val="24"/>
        </w:rPr>
        <w:t>，基金管理人对本基金</w:t>
      </w:r>
      <w:r w:rsidR="00E0013E">
        <w:rPr>
          <w:rFonts w:ascii="宋体" w:eastAsia="宋体" w:hAnsi="宋体" w:hint="eastAsia"/>
          <w:color w:val="000000"/>
          <w:sz w:val="24"/>
          <w:szCs w:val="24"/>
        </w:rPr>
        <w:t>申购</w:t>
      </w:r>
      <w:r w:rsidR="00373306">
        <w:rPr>
          <w:rFonts w:ascii="宋体" w:eastAsia="宋体" w:hAnsi="宋体" w:hint="eastAsia"/>
          <w:color w:val="000000"/>
          <w:sz w:val="24"/>
          <w:szCs w:val="24"/>
        </w:rPr>
        <w:t>业务限额</w:t>
      </w:r>
      <w:r w:rsidR="002A12F3">
        <w:rPr>
          <w:rFonts w:ascii="宋体" w:eastAsia="宋体" w:hAnsi="宋体" w:hint="eastAsia"/>
          <w:color w:val="000000"/>
          <w:sz w:val="24"/>
          <w:szCs w:val="24"/>
        </w:rPr>
        <w:t>发布</w:t>
      </w:r>
      <w:r w:rsidR="00E67FFB">
        <w:rPr>
          <w:rFonts w:ascii="宋体" w:eastAsia="宋体" w:hAnsi="宋体" w:hint="eastAsia"/>
          <w:color w:val="000000"/>
          <w:sz w:val="24"/>
          <w:szCs w:val="24"/>
        </w:rPr>
        <w:t>了</w:t>
      </w:r>
      <w:r w:rsidR="00F86BCB" w:rsidRPr="00F86BCB">
        <w:rPr>
          <w:rFonts w:ascii="宋体" w:eastAsia="宋体" w:hAnsi="宋体" w:hint="eastAsia"/>
          <w:color w:val="000000"/>
          <w:sz w:val="24"/>
          <w:szCs w:val="24"/>
        </w:rPr>
        <w:t>公告，具体内容为：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本基金自2023年7月3日起暂停大额申购、转换转入、定期定额投资业务，期间单个基金账户每一开放日申购、转换转入、定期定额投资累计不得超过3000万元（A类、B类和D类份额合并计算），如单个基金账户每一开放日申购、转换转入、定期定额投资超过3000万元（A类、B类和D类份额合并计算），基金管理人有权部分或全部拒绝。</w:t>
      </w:r>
      <w:r w:rsidR="00985589" w:rsidRPr="00985589">
        <w:rPr>
          <w:rFonts w:ascii="宋体" w:eastAsia="宋体" w:hAnsi="宋体"/>
          <w:color w:val="000000"/>
          <w:sz w:val="24"/>
          <w:szCs w:val="24"/>
        </w:rPr>
        <w:t>本次公告是对上述业务限额的调整：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本基金自2023年</w:t>
      </w:r>
      <w:r w:rsidR="00E47261">
        <w:rPr>
          <w:rFonts w:ascii="宋体" w:eastAsia="宋体" w:hAnsi="宋体"/>
          <w:color w:val="000000"/>
          <w:sz w:val="24"/>
          <w:szCs w:val="24"/>
        </w:rPr>
        <w:t>11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E47261">
        <w:rPr>
          <w:rFonts w:ascii="宋体" w:eastAsia="宋体" w:hAnsi="宋体"/>
          <w:color w:val="000000"/>
          <w:sz w:val="24"/>
          <w:szCs w:val="24"/>
        </w:rPr>
        <w:t>1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日起</w:t>
      </w:r>
      <w:r w:rsidR="002C048E">
        <w:rPr>
          <w:rFonts w:ascii="宋体" w:eastAsia="宋体" w:hAnsi="宋体" w:hint="eastAsia"/>
          <w:color w:val="000000"/>
          <w:sz w:val="24"/>
          <w:szCs w:val="24"/>
        </w:rPr>
        <w:t>限制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大额申购、转换转入、定期定额投资业务，期间单个基金账户每一开放日申购、转换转入、定期定额投资累计不得超过</w:t>
      </w:r>
      <w:r w:rsidR="003D2BD2">
        <w:rPr>
          <w:rFonts w:ascii="宋体" w:eastAsia="宋体" w:hAnsi="宋体"/>
          <w:color w:val="000000"/>
          <w:sz w:val="24"/>
          <w:szCs w:val="24"/>
        </w:rPr>
        <w:t>1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000万元（A类、B类和D类份额合并计算），如单个基金账户每一开放日申购、转换转入、定期定额投资超过</w:t>
      </w:r>
      <w:r w:rsidR="003D2BD2">
        <w:rPr>
          <w:rFonts w:ascii="宋体" w:eastAsia="宋体" w:hAnsi="宋体"/>
          <w:color w:val="000000"/>
          <w:sz w:val="24"/>
          <w:szCs w:val="24"/>
        </w:rPr>
        <w:t>1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000万元（A类、B类和D类份额合并计算），基金管理人有权部分或全部拒绝。</w:t>
      </w:r>
    </w:p>
    <w:p w:rsidR="00C06DE1" w:rsidRDefault="00C15BD2" w:rsidP="00230390">
      <w:pPr>
        <w:spacing w:line="560" w:lineRule="exact"/>
        <w:rPr>
          <w:rFonts w:ascii="宋体" w:eastAsia="宋体" w:hAnsi="宋体"/>
          <w:color w:val="000000"/>
          <w:sz w:val="24"/>
          <w:szCs w:val="24"/>
        </w:rPr>
      </w:pPr>
      <w:r w:rsidRPr="00230390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="0053538A">
        <w:rPr>
          <w:rFonts w:ascii="宋体" w:eastAsia="宋体" w:hAnsi="宋体" w:hint="eastAsia"/>
          <w:color w:val="000000"/>
          <w:sz w:val="24"/>
          <w:szCs w:val="24"/>
        </w:rPr>
        <w:t>2</w:t>
      </w:r>
      <w:r w:rsidRPr="00230390">
        <w:rPr>
          <w:rFonts w:ascii="宋体" w:eastAsia="宋体" w:hAnsi="宋体" w:hint="eastAsia"/>
          <w:color w:val="000000"/>
          <w:sz w:val="24"/>
          <w:szCs w:val="24"/>
        </w:rPr>
        <w:t>）敬请投资者做好交易安排。详情请登录本</w:t>
      </w:r>
      <w:r w:rsidR="00F577F0" w:rsidRPr="00230390">
        <w:rPr>
          <w:rFonts w:ascii="宋体" w:eastAsia="宋体" w:hAnsi="宋体" w:hint="eastAsia"/>
          <w:color w:val="000000"/>
          <w:sz w:val="24"/>
          <w:szCs w:val="24"/>
        </w:rPr>
        <w:t>基金管理人的</w:t>
      </w:r>
      <w:r w:rsidRPr="00230390">
        <w:rPr>
          <w:rFonts w:ascii="宋体" w:eastAsia="宋体" w:hAnsi="宋体" w:hint="eastAsia"/>
          <w:color w:val="000000"/>
          <w:sz w:val="24"/>
          <w:szCs w:val="24"/>
        </w:rPr>
        <w:t>网站（</w:t>
      </w:r>
      <w:hyperlink r:id="rId7" w:history="1">
        <w:r w:rsidRPr="00230390">
          <w:rPr>
            <w:rFonts w:ascii="宋体" w:eastAsia="宋体" w:hAnsi="宋体"/>
            <w:color w:val="000000"/>
            <w:sz w:val="24"/>
            <w:szCs w:val="24"/>
          </w:rPr>
          <w:t>www.ubssdic.com</w:t>
        </w:r>
        <w:r w:rsidRPr="00230390">
          <w:rPr>
            <w:rFonts w:ascii="宋体" w:eastAsia="宋体" w:hAnsi="宋体" w:hint="eastAsia"/>
            <w:color w:val="000000"/>
            <w:sz w:val="24"/>
            <w:szCs w:val="24"/>
          </w:rPr>
          <w:t>）或拨打本公司客服电话（</w:t>
        </w:r>
        <w:r w:rsidRPr="00230390">
          <w:rPr>
            <w:rFonts w:ascii="宋体" w:eastAsia="宋体" w:hAnsi="宋体"/>
            <w:color w:val="000000"/>
            <w:sz w:val="24"/>
            <w:szCs w:val="24"/>
          </w:rPr>
          <w:t>400-880-6868</w:t>
        </w:r>
      </w:hyperlink>
      <w:r w:rsidRPr="00230390">
        <w:rPr>
          <w:rFonts w:ascii="宋体" w:eastAsia="宋体" w:hAnsi="宋体" w:hint="eastAsia"/>
          <w:color w:val="000000"/>
          <w:sz w:val="24"/>
          <w:szCs w:val="24"/>
        </w:rPr>
        <w:t>）。</w:t>
      </w:r>
    </w:p>
    <w:p w:rsidR="00704F4A" w:rsidRDefault="00704F4A" w:rsidP="00230390">
      <w:pPr>
        <w:spacing w:line="560" w:lineRule="exact"/>
        <w:rPr>
          <w:rFonts w:ascii="宋体" w:eastAsia="宋体" w:hAnsi="宋体"/>
          <w:color w:val="000000"/>
          <w:sz w:val="24"/>
          <w:szCs w:val="24"/>
        </w:rPr>
      </w:pPr>
    </w:p>
    <w:p w:rsidR="00704F4A" w:rsidRDefault="00704F4A" w:rsidP="00230390">
      <w:pPr>
        <w:spacing w:line="560" w:lineRule="exact"/>
        <w:rPr>
          <w:rFonts w:ascii="宋体" w:eastAsia="宋体" w:hAnsi="宋体"/>
          <w:color w:val="000000"/>
          <w:sz w:val="24"/>
          <w:szCs w:val="24"/>
        </w:rPr>
      </w:pPr>
    </w:p>
    <w:p w:rsidR="00704F4A" w:rsidRDefault="00704F4A" w:rsidP="003F3251">
      <w:pPr>
        <w:widowControl/>
        <w:spacing w:before="100" w:beforeAutospacing="1" w:after="100" w:afterAutospacing="1"/>
        <w:ind w:right="120"/>
        <w:contextualSpacing/>
        <w:jc w:val="right"/>
        <w:rPr>
          <w:kern w:val="0"/>
          <w:sz w:val="24"/>
          <w:szCs w:val="24"/>
        </w:rPr>
      </w:pPr>
      <w:r w:rsidRPr="00EF093B">
        <w:rPr>
          <w:rFonts w:hint="eastAsia"/>
          <w:kern w:val="0"/>
          <w:sz w:val="24"/>
          <w:szCs w:val="24"/>
        </w:rPr>
        <w:t>国投瑞银</w:t>
      </w:r>
      <w:r w:rsidRPr="00EF093B">
        <w:rPr>
          <w:kern w:val="0"/>
          <w:sz w:val="24"/>
          <w:szCs w:val="24"/>
        </w:rPr>
        <w:t>基金管理有限公司</w:t>
      </w:r>
    </w:p>
    <w:p w:rsidR="00704F4A" w:rsidRPr="00230390" w:rsidRDefault="00704F4A" w:rsidP="003F3251">
      <w:pPr>
        <w:widowControl/>
        <w:spacing w:before="100" w:beforeAutospacing="1" w:after="100" w:afterAutospacing="1"/>
        <w:ind w:right="120"/>
        <w:contextualSpacing/>
        <w:jc w:val="right"/>
        <w:rPr>
          <w:rFonts w:ascii="宋体" w:eastAsia="宋体" w:hAnsi="宋体" w:hint="eastAsia"/>
          <w:color w:val="000000"/>
          <w:sz w:val="24"/>
          <w:szCs w:val="24"/>
        </w:rPr>
      </w:pPr>
      <w:r w:rsidRPr="00EF093B">
        <w:rPr>
          <w:rFonts w:hint="eastAsia"/>
          <w:kern w:val="0"/>
          <w:sz w:val="24"/>
          <w:szCs w:val="24"/>
        </w:rPr>
        <w:t>20</w:t>
      </w:r>
      <w:r w:rsidRPr="00EF093B">
        <w:rPr>
          <w:kern w:val="0"/>
          <w:sz w:val="24"/>
          <w:szCs w:val="24"/>
        </w:rPr>
        <w:t>23</w:t>
      </w:r>
      <w:r w:rsidRPr="00EF093B">
        <w:rPr>
          <w:kern w:val="0"/>
          <w:sz w:val="24"/>
          <w:szCs w:val="24"/>
        </w:rPr>
        <w:t>年</w:t>
      </w:r>
      <w:r w:rsidR="00BC563B">
        <w:rPr>
          <w:kern w:val="0"/>
          <w:sz w:val="24"/>
          <w:szCs w:val="24"/>
        </w:rPr>
        <w:t>10</w:t>
      </w:r>
      <w:r w:rsidRPr="00EF093B">
        <w:rPr>
          <w:kern w:val="0"/>
          <w:sz w:val="24"/>
          <w:szCs w:val="24"/>
        </w:rPr>
        <w:t>月</w:t>
      </w:r>
      <w:r w:rsidR="00BC563B">
        <w:rPr>
          <w:rFonts w:hint="eastAsia"/>
          <w:kern w:val="0"/>
          <w:sz w:val="24"/>
          <w:szCs w:val="24"/>
        </w:rPr>
        <w:t>3</w:t>
      </w:r>
      <w:r>
        <w:rPr>
          <w:kern w:val="0"/>
          <w:sz w:val="24"/>
          <w:szCs w:val="24"/>
        </w:rPr>
        <w:t>1</w:t>
      </w:r>
      <w:r w:rsidRPr="00EF093B">
        <w:rPr>
          <w:kern w:val="0"/>
          <w:sz w:val="24"/>
          <w:szCs w:val="24"/>
        </w:rPr>
        <w:t>日</w:t>
      </w:r>
    </w:p>
    <w:sectPr w:rsidR="00704F4A" w:rsidRPr="00230390">
      <w:footerReference w:type="default" r:id="rId8"/>
      <w:pgSz w:w="11907" w:h="16840"/>
      <w:pgMar w:top="2098" w:right="1588" w:bottom="2098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E2" w:rsidRDefault="00DB4EE2">
      <w:r>
        <w:separator/>
      </w:r>
    </w:p>
  </w:endnote>
  <w:endnote w:type="continuationSeparator" w:id="0">
    <w:p w:rsidR="00DB4EE2" w:rsidRDefault="00DB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61" w:rsidRDefault="00C74761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E2" w:rsidRDefault="00DB4EE2">
      <w:r>
        <w:separator/>
      </w:r>
    </w:p>
  </w:footnote>
  <w:footnote w:type="continuationSeparator" w:id="0">
    <w:p w:rsidR="00DB4EE2" w:rsidRDefault="00DB4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3">
    <w:nsid w:val="12A20956"/>
    <w:multiLevelType w:val="multilevel"/>
    <w:tmpl w:val="12A2095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trackRevisions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695"/>
    <w:rsid w:val="00071592"/>
    <w:rsid w:val="000737FC"/>
    <w:rsid w:val="0007405A"/>
    <w:rsid w:val="0007756B"/>
    <w:rsid w:val="00094904"/>
    <w:rsid w:val="0009595E"/>
    <w:rsid w:val="000A45F6"/>
    <w:rsid w:val="000A79BA"/>
    <w:rsid w:val="000C669B"/>
    <w:rsid w:val="000D211C"/>
    <w:rsid w:val="000E3D3B"/>
    <w:rsid w:val="000F39AA"/>
    <w:rsid w:val="0012022B"/>
    <w:rsid w:val="00121F1D"/>
    <w:rsid w:val="00136279"/>
    <w:rsid w:val="00145672"/>
    <w:rsid w:val="001479FB"/>
    <w:rsid w:val="00154A28"/>
    <w:rsid w:val="00163472"/>
    <w:rsid w:val="0018155D"/>
    <w:rsid w:val="00181BD4"/>
    <w:rsid w:val="00192DC8"/>
    <w:rsid w:val="001C2826"/>
    <w:rsid w:val="001C6458"/>
    <w:rsid w:val="001D4B81"/>
    <w:rsid w:val="00205570"/>
    <w:rsid w:val="002061AA"/>
    <w:rsid w:val="0020631C"/>
    <w:rsid w:val="002075C3"/>
    <w:rsid w:val="00213510"/>
    <w:rsid w:val="002301BB"/>
    <w:rsid w:val="00230390"/>
    <w:rsid w:val="00231916"/>
    <w:rsid w:val="0023690B"/>
    <w:rsid w:val="002657F6"/>
    <w:rsid w:val="0027306C"/>
    <w:rsid w:val="00273F63"/>
    <w:rsid w:val="002749FA"/>
    <w:rsid w:val="002A12F3"/>
    <w:rsid w:val="002B0E5D"/>
    <w:rsid w:val="002B4381"/>
    <w:rsid w:val="002B438D"/>
    <w:rsid w:val="002B538E"/>
    <w:rsid w:val="002C048E"/>
    <w:rsid w:val="002D5291"/>
    <w:rsid w:val="002E1A7D"/>
    <w:rsid w:val="002E53AD"/>
    <w:rsid w:val="002F0D8E"/>
    <w:rsid w:val="002F1C76"/>
    <w:rsid w:val="00302259"/>
    <w:rsid w:val="0032289B"/>
    <w:rsid w:val="00324214"/>
    <w:rsid w:val="0034336D"/>
    <w:rsid w:val="00353422"/>
    <w:rsid w:val="00373306"/>
    <w:rsid w:val="0037432C"/>
    <w:rsid w:val="003752FD"/>
    <w:rsid w:val="00391DC4"/>
    <w:rsid w:val="00396E36"/>
    <w:rsid w:val="003A0FFE"/>
    <w:rsid w:val="003A15DB"/>
    <w:rsid w:val="003B688F"/>
    <w:rsid w:val="003B7444"/>
    <w:rsid w:val="003C6EB3"/>
    <w:rsid w:val="003D2BD2"/>
    <w:rsid w:val="003D33D8"/>
    <w:rsid w:val="003E75A6"/>
    <w:rsid w:val="003F3251"/>
    <w:rsid w:val="0040383B"/>
    <w:rsid w:val="0041309F"/>
    <w:rsid w:val="00445900"/>
    <w:rsid w:val="00477D8F"/>
    <w:rsid w:val="00494922"/>
    <w:rsid w:val="004A7A50"/>
    <w:rsid w:val="004C19EB"/>
    <w:rsid w:val="00511515"/>
    <w:rsid w:val="00526DB9"/>
    <w:rsid w:val="0053538A"/>
    <w:rsid w:val="00536E96"/>
    <w:rsid w:val="00540729"/>
    <w:rsid w:val="0054287D"/>
    <w:rsid w:val="0054632C"/>
    <w:rsid w:val="00553942"/>
    <w:rsid w:val="00554364"/>
    <w:rsid w:val="0055680D"/>
    <w:rsid w:val="005631EF"/>
    <w:rsid w:val="00563791"/>
    <w:rsid w:val="00565D65"/>
    <w:rsid w:val="00590D62"/>
    <w:rsid w:val="0059290B"/>
    <w:rsid w:val="005A3049"/>
    <w:rsid w:val="005B6188"/>
    <w:rsid w:val="005C2CB0"/>
    <w:rsid w:val="005D47B5"/>
    <w:rsid w:val="005D4C04"/>
    <w:rsid w:val="005F539B"/>
    <w:rsid w:val="0061035D"/>
    <w:rsid w:val="00612265"/>
    <w:rsid w:val="00613DC9"/>
    <w:rsid w:val="006636FE"/>
    <w:rsid w:val="0066591B"/>
    <w:rsid w:val="0067492D"/>
    <w:rsid w:val="00690769"/>
    <w:rsid w:val="00691977"/>
    <w:rsid w:val="006B67ED"/>
    <w:rsid w:val="006C0DB3"/>
    <w:rsid w:val="006C2D8C"/>
    <w:rsid w:val="006C57E0"/>
    <w:rsid w:val="006C72D3"/>
    <w:rsid w:val="006D2F4E"/>
    <w:rsid w:val="006D376E"/>
    <w:rsid w:val="006F179C"/>
    <w:rsid w:val="00701FB6"/>
    <w:rsid w:val="00704F4A"/>
    <w:rsid w:val="00740FCB"/>
    <w:rsid w:val="007420FA"/>
    <w:rsid w:val="00760EB8"/>
    <w:rsid w:val="00774B13"/>
    <w:rsid w:val="00780EB9"/>
    <w:rsid w:val="00782FC5"/>
    <w:rsid w:val="00786EBD"/>
    <w:rsid w:val="007938D0"/>
    <w:rsid w:val="007964AD"/>
    <w:rsid w:val="007C45E2"/>
    <w:rsid w:val="007C4AB9"/>
    <w:rsid w:val="007C57C7"/>
    <w:rsid w:val="007D2AA5"/>
    <w:rsid w:val="007D3DCE"/>
    <w:rsid w:val="007E14D0"/>
    <w:rsid w:val="007E3F08"/>
    <w:rsid w:val="007F05B4"/>
    <w:rsid w:val="007F379E"/>
    <w:rsid w:val="008020E9"/>
    <w:rsid w:val="00833B7F"/>
    <w:rsid w:val="008407E1"/>
    <w:rsid w:val="00855472"/>
    <w:rsid w:val="00864C1F"/>
    <w:rsid w:val="008B67F7"/>
    <w:rsid w:val="008D36C7"/>
    <w:rsid w:val="008F181F"/>
    <w:rsid w:val="00915044"/>
    <w:rsid w:val="00920B28"/>
    <w:rsid w:val="00923A09"/>
    <w:rsid w:val="00923CCD"/>
    <w:rsid w:val="00925D3C"/>
    <w:rsid w:val="0094667B"/>
    <w:rsid w:val="0095799E"/>
    <w:rsid w:val="00963702"/>
    <w:rsid w:val="00972C21"/>
    <w:rsid w:val="00972D38"/>
    <w:rsid w:val="00985589"/>
    <w:rsid w:val="009A4357"/>
    <w:rsid w:val="009B6DD9"/>
    <w:rsid w:val="009B7ED7"/>
    <w:rsid w:val="009D7801"/>
    <w:rsid w:val="009D7A8D"/>
    <w:rsid w:val="009D7EC7"/>
    <w:rsid w:val="009E00B0"/>
    <w:rsid w:val="009E481E"/>
    <w:rsid w:val="009E53F3"/>
    <w:rsid w:val="00A0696D"/>
    <w:rsid w:val="00A148CF"/>
    <w:rsid w:val="00A14D01"/>
    <w:rsid w:val="00A2228F"/>
    <w:rsid w:val="00A22F9F"/>
    <w:rsid w:val="00A23C47"/>
    <w:rsid w:val="00A24DFD"/>
    <w:rsid w:val="00A37DA3"/>
    <w:rsid w:val="00A54A89"/>
    <w:rsid w:val="00A86551"/>
    <w:rsid w:val="00A86C1D"/>
    <w:rsid w:val="00A86E48"/>
    <w:rsid w:val="00AA4CB8"/>
    <w:rsid w:val="00AB1B3A"/>
    <w:rsid w:val="00AB5245"/>
    <w:rsid w:val="00AC272B"/>
    <w:rsid w:val="00AC4906"/>
    <w:rsid w:val="00AC6058"/>
    <w:rsid w:val="00AD3AC2"/>
    <w:rsid w:val="00AD4705"/>
    <w:rsid w:val="00AD53AD"/>
    <w:rsid w:val="00AF2018"/>
    <w:rsid w:val="00AF2AFD"/>
    <w:rsid w:val="00B00588"/>
    <w:rsid w:val="00B20116"/>
    <w:rsid w:val="00B26300"/>
    <w:rsid w:val="00B26546"/>
    <w:rsid w:val="00B35C0B"/>
    <w:rsid w:val="00B45E93"/>
    <w:rsid w:val="00B50EDF"/>
    <w:rsid w:val="00B65A89"/>
    <w:rsid w:val="00B65EB4"/>
    <w:rsid w:val="00B7388B"/>
    <w:rsid w:val="00B747B8"/>
    <w:rsid w:val="00B755FE"/>
    <w:rsid w:val="00B779D2"/>
    <w:rsid w:val="00B81E5A"/>
    <w:rsid w:val="00B847CF"/>
    <w:rsid w:val="00BA4AB4"/>
    <w:rsid w:val="00BA4E75"/>
    <w:rsid w:val="00BA70BD"/>
    <w:rsid w:val="00BA7CEE"/>
    <w:rsid w:val="00BC563B"/>
    <w:rsid w:val="00BC7BEB"/>
    <w:rsid w:val="00BD4C33"/>
    <w:rsid w:val="00BE01DC"/>
    <w:rsid w:val="00BE0615"/>
    <w:rsid w:val="00BF318E"/>
    <w:rsid w:val="00BF5CAC"/>
    <w:rsid w:val="00C06DE1"/>
    <w:rsid w:val="00C10861"/>
    <w:rsid w:val="00C125C7"/>
    <w:rsid w:val="00C12625"/>
    <w:rsid w:val="00C138CE"/>
    <w:rsid w:val="00C15BD2"/>
    <w:rsid w:val="00C35CF3"/>
    <w:rsid w:val="00C37B77"/>
    <w:rsid w:val="00C57BB8"/>
    <w:rsid w:val="00C7006B"/>
    <w:rsid w:val="00C74761"/>
    <w:rsid w:val="00C97DF2"/>
    <w:rsid w:val="00CA3026"/>
    <w:rsid w:val="00CA5B0C"/>
    <w:rsid w:val="00CA7A33"/>
    <w:rsid w:val="00CB6105"/>
    <w:rsid w:val="00CD7316"/>
    <w:rsid w:val="00CE2D6E"/>
    <w:rsid w:val="00CE3CC7"/>
    <w:rsid w:val="00D052CE"/>
    <w:rsid w:val="00D3406A"/>
    <w:rsid w:val="00D40553"/>
    <w:rsid w:val="00D72626"/>
    <w:rsid w:val="00D8342D"/>
    <w:rsid w:val="00D944C7"/>
    <w:rsid w:val="00DA4E5A"/>
    <w:rsid w:val="00DA5AC3"/>
    <w:rsid w:val="00DB1D5A"/>
    <w:rsid w:val="00DB28AD"/>
    <w:rsid w:val="00DB3B4B"/>
    <w:rsid w:val="00DB4EE2"/>
    <w:rsid w:val="00DD7DC9"/>
    <w:rsid w:val="00DF428A"/>
    <w:rsid w:val="00E0013E"/>
    <w:rsid w:val="00E02BE3"/>
    <w:rsid w:val="00E101D0"/>
    <w:rsid w:val="00E3401B"/>
    <w:rsid w:val="00E34A0A"/>
    <w:rsid w:val="00E41BEF"/>
    <w:rsid w:val="00E47261"/>
    <w:rsid w:val="00E53B7D"/>
    <w:rsid w:val="00E61BC9"/>
    <w:rsid w:val="00E67FFB"/>
    <w:rsid w:val="00E72A22"/>
    <w:rsid w:val="00E7591A"/>
    <w:rsid w:val="00E933B9"/>
    <w:rsid w:val="00EC0622"/>
    <w:rsid w:val="00EC210F"/>
    <w:rsid w:val="00EC2E1F"/>
    <w:rsid w:val="00EC566A"/>
    <w:rsid w:val="00EE5943"/>
    <w:rsid w:val="00EF1C8C"/>
    <w:rsid w:val="00EF2E58"/>
    <w:rsid w:val="00EF5C30"/>
    <w:rsid w:val="00F03B68"/>
    <w:rsid w:val="00F52794"/>
    <w:rsid w:val="00F52C87"/>
    <w:rsid w:val="00F577F0"/>
    <w:rsid w:val="00F646CF"/>
    <w:rsid w:val="00F722DE"/>
    <w:rsid w:val="00F75CB3"/>
    <w:rsid w:val="00F86BCB"/>
    <w:rsid w:val="00F90BC0"/>
    <w:rsid w:val="00F97B19"/>
    <w:rsid w:val="00FA258C"/>
    <w:rsid w:val="00F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link w:val="CharCharCharCharCharChar1CharCharChar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批注文字 Char"/>
    <w:link w:val="a4"/>
    <w:rPr>
      <w:rFonts w:eastAsia="宋体"/>
      <w:kern w:val="2"/>
      <w:sz w:val="21"/>
      <w:lang w:val="en-US" w:eastAsia="zh-CN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lang w:val="en-US" w:eastAsia="zh-CN"/>
    </w:rPr>
  </w:style>
  <w:style w:type="character" w:styleId="a7">
    <w:name w:val="page number"/>
    <w:basedOn w:val="a0"/>
  </w:style>
  <w:style w:type="character" w:styleId="a8">
    <w:name w:val="Strong"/>
    <w:qFormat/>
    <w:rPr>
      <w:b/>
    </w:rPr>
  </w:style>
  <w:style w:type="character" w:styleId="a9">
    <w:name w:val="annotation reference"/>
    <w:rPr>
      <w:sz w:val="21"/>
    </w:rPr>
  </w:style>
  <w:style w:type="character" w:customStyle="1" w:styleId="Char0">
    <w:name w:val="正文文本 Char"/>
    <w:link w:val="aa"/>
    <w:rPr>
      <w:rFonts w:eastAsia="方正仿宋简体"/>
      <w:kern w:val="2"/>
      <w:sz w:val="32"/>
      <w:lang w:val="en-US" w:eastAsia="zh-CN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styleId="10">
    <w:name w:val="toc 1"/>
    <w:basedOn w:val="a"/>
    <w:next w:val="a"/>
    <w:rPr>
      <w:rFonts w:eastAsia="宋体"/>
      <w:sz w:val="21"/>
    </w:rPr>
  </w:style>
  <w:style w:type="paragraph" w:customStyle="1" w:styleId="CharChar1Char">
    <w:name w:val=" Char Char1 Char"/>
    <w:basedOn w:val="a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ab">
    <w:name w:val="annotation subject"/>
    <w:basedOn w:val="a4"/>
    <w:next w:val="a4"/>
    <w:rPr>
      <w:b/>
    </w:rPr>
  </w:style>
  <w:style w:type="paragraph" w:styleId="ac">
    <w:name w:val="Body Text Indent"/>
    <w:basedOn w:val="a"/>
    <w:pPr>
      <w:spacing w:after="120"/>
      <w:ind w:leftChars="200" w:left="420"/>
    </w:p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d">
    <w:name w:val="Date"/>
    <w:basedOn w:val="a"/>
    <w:next w:val="a"/>
    <w:rPr>
      <w:rFonts w:ascii="宋体" w:eastAsia="宋体"/>
    </w:rPr>
  </w:style>
  <w:style w:type="paragraph" w:customStyle="1" w:styleId="Char1">
    <w:name w:val="Char"/>
    <w:basedOn w:val="a"/>
    <w:pPr>
      <w:tabs>
        <w:tab w:val="left" w:pos="360"/>
      </w:tabs>
    </w:pPr>
    <w:rPr>
      <w:rFonts w:eastAsia="宋体"/>
      <w:sz w:val="24"/>
    </w:rPr>
  </w:style>
  <w:style w:type="paragraph" w:customStyle="1" w:styleId="ae">
    <w:name w:val="附录款(一)"/>
    <w:basedOn w:val="a"/>
    <w:pPr>
      <w:spacing w:line="360" w:lineRule="auto"/>
    </w:pPr>
    <w:rPr>
      <w:rFonts w:eastAsia="宋体"/>
      <w:sz w:val="24"/>
    </w:rPr>
  </w:style>
  <w:style w:type="paragraph" w:customStyle="1" w:styleId="ParaChar">
    <w:name w:val="默认段落字体 Para Char"/>
    <w:basedOn w:val="a"/>
    <w:pPr>
      <w:numPr>
        <w:numId w:val="1"/>
      </w:numPr>
      <w:tabs>
        <w:tab w:val="left" w:pos="2013"/>
      </w:tabs>
      <w:spacing w:before="312" w:after="312" w:line="360" w:lineRule="auto"/>
    </w:pPr>
    <w:rPr>
      <w:rFonts w:eastAsia="宋体"/>
      <w:sz w:val="24"/>
    </w:rPr>
  </w:style>
  <w:style w:type="paragraph" w:styleId="20">
    <w:name w:val="Body Text 2"/>
    <w:basedOn w:val="a"/>
    <w:pPr>
      <w:spacing w:line="360" w:lineRule="auto"/>
      <w:ind w:firstLine="720"/>
    </w:pPr>
    <w:rPr>
      <w:rFonts w:ascii="仿宋_GB2312" w:eastAsia="仿宋_GB2312"/>
      <w:sz w:val="28"/>
    </w:rPr>
  </w:style>
  <w:style w:type="paragraph" w:styleId="af">
    <w:name w:val="Plain Text"/>
    <w:basedOn w:val="a"/>
    <w:rPr>
      <w:rFonts w:ascii="宋体" w:eastAsia="宋体" w:hAnsi="Courier New"/>
      <w:sz w:val="21"/>
    </w:rPr>
  </w:style>
  <w:style w:type="paragraph" w:styleId="a4">
    <w:name w:val="annotation text"/>
    <w:basedOn w:val="a"/>
    <w:link w:val="Char"/>
    <w:pPr>
      <w:jc w:val="left"/>
    </w:pPr>
    <w:rPr>
      <w:rFonts w:eastAsia="宋体"/>
      <w:sz w:val="21"/>
    </w:rPr>
  </w:style>
  <w:style w:type="paragraph" w:customStyle="1" w:styleId="CharCharCharChar">
    <w:name w:val=" Char Char Char Char"/>
    <w:basedOn w:val="a"/>
    <w:rPr>
      <w:rFonts w:ascii="Tahoma" w:eastAsia="宋体" w:hAnsi="Tahoma"/>
      <w:sz w:val="24"/>
    </w:rPr>
  </w:style>
  <w:style w:type="paragraph" w:customStyle="1" w:styleId="CharCharCharCharCharCharCharCharChar">
    <w:name w:val=" Char Char Char Char Char Char Char Char Char"/>
    <w:basedOn w:val="a"/>
    <w:pPr>
      <w:numPr>
        <w:numId w:val="2"/>
      </w:numPr>
      <w:tabs>
        <w:tab w:val="left" w:pos="1320"/>
      </w:tabs>
    </w:pPr>
    <w:rPr>
      <w:rFonts w:eastAsia="宋体"/>
      <w:sz w:val="24"/>
    </w:rPr>
  </w:style>
  <w:style w:type="paragraph" w:styleId="af0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1">
    <w:name w:val="正文条"/>
    <w:basedOn w:val="a"/>
    <w:pPr>
      <w:numPr>
        <w:numId w:val="3"/>
      </w:numPr>
      <w:tabs>
        <w:tab w:val="left" w:pos="1440"/>
      </w:tabs>
      <w:spacing w:line="360" w:lineRule="auto"/>
    </w:pPr>
    <w:rPr>
      <w:rFonts w:eastAsia="宋体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styleId="af2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customStyle="1" w:styleId="Char1CharCharCharCharCharChar">
    <w:name w:val=" Char1 Char Char Char Char Char Char"/>
    <w:basedOn w:val="a"/>
    <w:rPr>
      <w:rFonts w:eastAsia="宋体"/>
      <w:sz w:val="21"/>
    </w:rPr>
  </w:style>
  <w:style w:type="paragraph" w:styleId="af3">
    <w:name w:val="Balloon Text"/>
    <w:basedOn w:val="a"/>
    <w:rPr>
      <w:sz w:val="18"/>
    </w:rPr>
  </w:style>
  <w:style w:type="paragraph" w:customStyle="1" w:styleId="CharCharCharCharCharCharChar">
    <w:name w:val=" Char Char Char Char Char Char Char"/>
    <w:basedOn w:val="a"/>
    <w:pPr>
      <w:tabs>
        <w:tab w:val="left" w:pos="360"/>
      </w:tabs>
    </w:pPr>
    <w:rPr>
      <w:rFonts w:eastAsia="宋体"/>
      <w:sz w:val="21"/>
    </w:rPr>
  </w:style>
  <w:style w:type="paragraph" w:customStyle="1" w:styleId="CharCharCharCharCharChar1CharCharChar">
    <w:name w:val=" Char Char Char Char Char Char1 Char Char Char"/>
    <w:basedOn w:val="a"/>
    <w:link w:val="a0"/>
    <w:pPr>
      <w:autoSpaceDE w:val="0"/>
      <w:autoSpaceDN w:val="0"/>
      <w:adjustRightInd w:val="0"/>
      <w:jc w:val="left"/>
      <w:textAlignment w:val="baseline"/>
    </w:pPr>
  </w:style>
  <w:style w:type="paragraph" w:styleId="aa">
    <w:name w:val="Body Text"/>
    <w:basedOn w:val="a"/>
    <w:link w:val="Char0"/>
    <w:pPr>
      <w:spacing w:after="120"/>
    </w:pPr>
  </w:style>
  <w:style w:type="paragraph" w:customStyle="1" w:styleId="Char2">
    <w:name w:val=" Char"/>
    <w:basedOn w:val="a"/>
    <w:link w:val="Char"/>
    <w:pPr>
      <w:tabs>
        <w:tab w:val="left" w:pos="360"/>
      </w:tabs>
      <w:spacing w:line="560" w:lineRule="exact"/>
    </w:pPr>
    <w:rPr>
      <w:rFonts w:eastAsia="宋体"/>
      <w:sz w:val="21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f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f6">
    <w:name w:val="endnote text"/>
    <w:basedOn w:val="a"/>
    <w:pPr>
      <w:snapToGrid w:val="0"/>
      <w:jc w:val="left"/>
    </w:pPr>
  </w:style>
  <w:style w:type="paragraph" w:styleId="af7">
    <w:name w:val="Revision"/>
    <w:hidden/>
    <w:uiPriority w:val="99"/>
    <w:semiHidden/>
    <w:rsid w:val="006C57E0"/>
    <w:rPr>
      <w:rFonts w:eastAsia="方正仿宋简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bssdic.com&#65289;&#25110;&#25320;&#25171;&#26412;&#20844;&#21496;&#23458;&#26381;&#30005;&#35805;&#65288;400-880-6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013;&#22269;&#35777;&#21048;&#30417;&#30563;&#31649;&#29702;&#22996;&#21592;&#20250;&#2019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</Template>
  <TotalTime>0</TotalTime>
  <Pages>2</Pages>
  <Words>154</Words>
  <Characters>878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CSRC</Company>
  <LinksUpToDate>false</LinksUpToDate>
  <CharactersWithSpaces>1030</CharactersWithSpaces>
  <SharedDoc>false</SharedDoc>
  <HLinks>
    <vt:vector size="6" baseType="variant">
      <vt:variant>
        <vt:i4>-2137373312</vt:i4>
      </vt:variant>
      <vt:variant>
        <vt:i4>0</vt:i4>
      </vt:variant>
      <vt:variant>
        <vt:i4>0</vt:i4>
      </vt:variant>
      <vt:variant>
        <vt:i4>5</vt:i4>
      </vt:variant>
      <vt:variant>
        <vt:lpwstr>http://www.ubssdic.com）或拨打本公司客服电话（400-880-6868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证监机构字[1999]44号</dc:title>
  <dc:subject/>
  <dc:creator>123</dc:creator>
  <cp:keywords/>
  <cp:lastModifiedBy>ZHONGM</cp:lastModifiedBy>
  <cp:revision>2</cp:revision>
  <cp:lastPrinted>2010-11-24T09:24:00Z</cp:lastPrinted>
  <dcterms:created xsi:type="dcterms:W3CDTF">2023-10-30T16:01:00Z</dcterms:created>
  <dcterms:modified xsi:type="dcterms:W3CDTF">2023-10-30T16:01:00Z</dcterms:modified>
</cp:coreProperties>
</file>